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E4CB" w14:textId="0848A3A7" w:rsidR="235DF6B6" w:rsidRPr="00035295" w:rsidRDefault="00BC5186" w:rsidP="00575ECF">
      <w:pPr>
        <w:jc w:val="center"/>
        <w:rPr>
          <w:rFonts w:ascii="Times New Roman" w:eastAsia="Times New Roman" w:hAnsi="Times New Roman" w:cs="Times New Roman"/>
          <w:b/>
          <w:bCs/>
          <w:sz w:val="28"/>
          <w:szCs w:val="28"/>
          <w:lang w:val="es-CL"/>
        </w:rPr>
      </w:pPr>
      <w:r w:rsidRPr="00373405">
        <w:rPr>
          <w:rFonts w:ascii="Times New Roman" w:eastAsia="Times New Roman" w:hAnsi="Times New Roman" w:cs="Times New Roman"/>
          <w:b/>
          <w:bCs/>
          <w:sz w:val="28"/>
          <w:szCs w:val="28"/>
          <w:lang w:val="es-CL"/>
        </w:rPr>
        <w:t>Ar</w:t>
      </w:r>
      <w:r w:rsidRPr="00035295">
        <w:rPr>
          <w:rFonts w:ascii="Times New Roman" w:eastAsia="Times New Roman" w:hAnsi="Times New Roman" w:cs="Times New Roman"/>
          <w:b/>
          <w:bCs/>
          <w:sz w:val="28"/>
          <w:szCs w:val="28"/>
          <w:lang w:val="es-CL"/>
        </w:rPr>
        <w:t xml:space="preserve">ticulación entre </w:t>
      </w:r>
      <w:r w:rsidR="001A12B1">
        <w:rPr>
          <w:rFonts w:ascii="Times New Roman" w:eastAsia="Times New Roman" w:hAnsi="Times New Roman" w:cs="Times New Roman"/>
          <w:b/>
          <w:bCs/>
          <w:sz w:val="28"/>
          <w:szCs w:val="28"/>
          <w:lang w:val="es-CL"/>
        </w:rPr>
        <w:t xml:space="preserve">el ciclo de </w:t>
      </w:r>
      <w:r w:rsidRPr="00035295">
        <w:rPr>
          <w:rFonts w:ascii="Times New Roman" w:eastAsia="Times New Roman" w:hAnsi="Times New Roman" w:cs="Times New Roman"/>
          <w:b/>
          <w:bCs/>
          <w:sz w:val="28"/>
          <w:szCs w:val="28"/>
          <w:lang w:val="es-CL"/>
        </w:rPr>
        <w:t xml:space="preserve">Modelización </w:t>
      </w:r>
      <w:r w:rsidR="001A12B1">
        <w:rPr>
          <w:rFonts w:ascii="Times New Roman" w:eastAsia="Times New Roman" w:hAnsi="Times New Roman" w:cs="Times New Roman"/>
          <w:b/>
          <w:bCs/>
          <w:sz w:val="28"/>
          <w:szCs w:val="28"/>
          <w:lang w:val="es-CL"/>
        </w:rPr>
        <w:t xml:space="preserve">de </w:t>
      </w:r>
      <w:proofErr w:type="spellStart"/>
      <w:r w:rsidR="001A12B1" w:rsidRPr="001A12B1">
        <w:rPr>
          <w:rFonts w:ascii="Times New Roman" w:eastAsia="Times New Roman" w:hAnsi="Times New Roman" w:cs="Times New Roman"/>
          <w:b/>
          <w:bCs/>
          <w:sz w:val="28"/>
          <w:szCs w:val="28"/>
          <w:lang w:val="es-CL"/>
        </w:rPr>
        <w:t>Blomhøj</w:t>
      </w:r>
      <w:proofErr w:type="spellEnd"/>
      <w:r w:rsidR="001A12B1">
        <w:rPr>
          <w:rFonts w:ascii="Times New Roman" w:eastAsia="Times New Roman" w:hAnsi="Times New Roman" w:cs="Times New Roman"/>
          <w:b/>
          <w:bCs/>
          <w:sz w:val="28"/>
          <w:szCs w:val="28"/>
          <w:lang w:val="es-CL"/>
        </w:rPr>
        <w:t xml:space="preserve"> </w:t>
      </w:r>
      <w:r w:rsidRPr="00035295">
        <w:rPr>
          <w:rFonts w:ascii="Times New Roman" w:eastAsia="Times New Roman" w:hAnsi="Times New Roman" w:cs="Times New Roman"/>
          <w:b/>
          <w:bCs/>
          <w:sz w:val="28"/>
          <w:szCs w:val="28"/>
          <w:lang w:val="es-CL"/>
        </w:rPr>
        <w:t xml:space="preserve">y Espacios de Trabajo Matemático. Análisis de una </w:t>
      </w:r>
      <w:r w:rsidR="00D167AA">
        <w:rPr>
          <w:rFonts w:ascii="Times New Roman" w:eastAsia="Times New Roman" w:hAnsi="Times New Roman" w:cs="Times New Roman"/>
          <w:b/>
          <w:bCs/>
          <w:sz w:val="28"/>
          <w:szCs w:val="28"/>
          <w:lang w:val="es-CL"/>
        </w:rPr>
        <w:t>t</w:t>
      </w:r>
      <w:r w:rsidRPr="00035295">
        <w:rPr>
          <w:rFonts w:ascii="Times New Roman" w:eastAsia="Times New Roman" w:hAnsi="Times New Roman" w:cs="Times New Roman"/>
          <w:b/>
          <w:bCs/>
          <w:sz w:val="28"/>
          <w:szCs w:val="28"/>
          <w:lang w:val="es-CL"/>
        </w:rPr>
        <w:t>area en Educación Superior</w:t>
      </w:r>
    </w:p>
    <w:p w14:paraId="23F9B14E" w14:textId="678D854B" w:rsidR="57A38557" w:rsidRPr="00035295" w:rsidRDefault="57A38557" w:rsidP="57A38557">
      <w:pPr>
        <w:jc w:val="center"/>
        <w:rPr>
          <w:rFonts w:ascii="Times New Roman" w:eastAsia="Times New Roman" w:hAnsi="Times New Roman" w:cs="Times New Roman"/>
          <w:lang w:val="es-CL"/>
        </w:rPr>
      </w:pPr>
    </w:p>
    <w:p w14:paraId="39BBC1CC" w14:textId="4A35507B" w:rsidR="57A38557" w:rsidRPr="00035295" w:rsidRDefault="00BC5186" w:rsidP="003053BE">
      <w:pPr>
        <w:shd w:val="clear" w:color="auto" w:fill="FFFFFF"/>
        <w:jc w:val="center"/>
        <w:rPr>
          <w:rFonts w:ascii="Times New Roman" w:hAnsi="Times New Roman" w:cs="Times New Roman"/>
          <w:sz w:val="20"/>
          <w:szCs w:val="20"/>
          <w:lang w:val="es-CL"/>
        </w:rPr>
      </w:pPr>
      <w:bookmarkStart w:id="0" w:name="_Hlk45178606"/>
      <w:r w:rsidRPr="00035295">
        <w:rPr>
          <w:rFonts w:ascii="Times New Roman" w:eastAsia="Times New Roman" w:hAnsi="Times New Roman" w:cs="Times New Roman"/>
          <w:sz w:val="20"/>
          <w:szCs w:val="20"/>
          <w:lang w:val="es-CL"/>
        </w:rPr>
        <w:t>Paula Verdugo-</w:t>
      </w:r>
      <w:proofErr w:type="spellStart"/>
      <w:r w:rsidRPr="00035295">
        <w:rPr>
          <w:rFonts w:ascii="Times New Roman" w:eastAsia="Times New Roman" w:hAnsi="Times New Roman" w:cs="Times New Roman"/>
          <w:sz w:val="20"/>
          <w:szCs w:val="20"/>
          <w:lang w:val="es-CL"/>
        </w:rPr>
        <w:t>Hernández</w:t>
      </w:r>
      <w:r w:rsidR="57A38557" w:rsidRPr="00035295">
        <w:rPr>
          <w:rFonts w:ascii="Times New Roman" w:eastAsia="Times New Roman" w:hAnsi="Times New Roman" w:cs="Times New Roman"/>
          <w:sz w:val="20"/>
          <w:szCs w:val="20"/>
          <w:vertAlign w:val="superscript"/>
          <w:lang w:val="es-CL"/>
        </w:rPr>
        <w:t>a</w:t>
      </w:r>
      <w:proofErr w:type="spellEnd"/>
      <w:r w:rsidR="57A38557" w:rsidRPr="00035295">
        <w:rPr>
          <w:rFonts w:ascii="Times New Roman" w:eastAsia="Times New Roman" w:hAnsi="Times New Roman" w:cs="Times New Roman"/>
          <w:sz w:val="20"/>
          <w:szCs w:val="20"/>
          <w:lang w:val="es-CL"/>
        </w:rPr>
        <w:t xml:space="preserve"> ORCID </w:t>
      </w:r>
      <w:proofErr w:type="spellStart"/>
      <w:r w:rsidR="57A38557" w:rsidRPr="00035295">
        <w:rPr>
          <w:rFonts w:ascii="Times New Roman" w:eastAsia="Times New Roman" w:hAnsi="Times New Roman" w:cs="Times New Roman"/>
          <w:sz w:val="20"/>
          <w:szCs w:val="20"/>
          <w:lang w:val="es-CL"/>
        </w:rPr>
        <w:t>iD</w:t>
      </w:r>
      <w:proofErr w:type="spellEnd"/>
      <w:r w:rsidR="57A38557" w:rsidRPr="00035295">
        <w:rPr>
          <w:rFonts w:ascii="Times New Roman" w:eastAsia="Times New Roman" w:hAnsi="Times New Roman" w:cs="Times New Roman"/>
          <w:sz w:val="20"/>
          <w:szCs w:val="20"/>
          <w:lang w:val="es-CL"/>
        </w:rPr>
        <w:t xml:space="preserve"> (</w:t>
      </w:r>
      <w:r w:rsidRPr="00035295">
        <w:rPr>
          <w:rStyle w:val="Hipervnculo"/>
          <w:rFonts w:ascii="Times New Roman" w:hAnsi="Times New Roman" w:cs="Times New Roman"/>
          <w:sz w:val="20"/>
          <w:szCs w:val="20"/>
          <w:lang w:val="es-CL"/>
        </w:rPr>
        <w:t>0000-0001-6162-654X</w:t>
      </w:r>
      <w:r w:rsidR="57A38557" w:rsidRPr="00035295">
        <w:rPr>
          <w:rFonts w:ascii="Times New Roman" w:eastAsia="Times New Roman" w:hAnsi="Times New Roman" w:cs="Times New Roman"/>
          <w:sz w:val="20"/>
          <w:szCs w:val="20"/>
          <w:lang w:val="es-CL"/>
        </w:rPr>
        <w:t>)</w:t>
      </w:r>
    </w:p>
    <w:p w14:paraId="707FD719" w14:textId="759C2D3A" w:rsidR="57A38557" w:rsidRPr="005348E2" w:rsidRDefault="00BC5186" w:rsidP="000E6175">
      <w:pPr>
        <w:jc w:val="center"/>
        <w:rPr>
          <w:rFonts w:ascii="Times New Roman" w:hAnsi="Times New Roman" w:cs="Times New Roman"/>
          <w:color w:val="FF0000"/>
          <w:sz w:val="22"/>
          <w:szCs w:val="22"/>
          <w:lang w:val="es-CL"/>
        </w:rPr>
      </w:pPr>
      <w:r w:rsidRPr="005C272F">
        <w:rPr>
          <w:rFonts w:ascii="Times New Roman" w:eastAsia="Times New Roman" w:hAnsi="Times New Roman" w:cs="Times New Roman"/>
          <w:sz w:val="20"/>
          <w:szCs w:val="20"/>
          <w:lang w:val="es-CL"/>
        </w:rPr>
        <w:t xml:space="preserve">Jaime </w:t>
      </w:r>
      <w:proofErr w:type="spellStart"/>
      <w:r w:rsidRPr="005C272F">
        <w:rPr>
          <w:rFonts w:ascii="Times New Roman" w:eastAsia="Times New Roman" w:hAnsi="Times New Roman" w:cs="Times New Roman"/>
          <w:sz w:val="20"/>
          <w:szCs w:val="20"/>
          <w:lang w:val="es-CL"/>
        </w:rPr>
        <w:t>Huincahue</w:t>
      </w:r>
      <w:proofErr w:type="spellEnd"/>
      <w:r w:rsidRPr="005C272F">
        <w:rPr>
          <w:rFonts w:ascii="Times New Roman" w:eastAsia="Times New Roman" w:hAnsi="Times New Roman" w:cs="Times New Roman"/>
          <w:sz w:val="20"/>
          <w:szCs w:val="20"/>
          <w:lang w:val="es-CL"/>
        </w:rPr>
        <w:t xml:space="preserve"> </w:t>
      </w:r>
      <w:proofErr w:type="spellStart"/>
      <w:r w:rsidRPr="005C272F">
        <w:rPr>
          <w:rFonts w:ascii="Times New Roman" w:eastAsia="Times New Roman" w:hAnsi="Times New Roman" w:cs="Times New Roman"/>
          <w:sz w:val="20"/>
          <w:szCs w:val="20"/>
          <w:lang w:val="es-CL"/>
        </w:rPr>
        <w:t>Arcos</w:t>
      </w:r>
      <w:r w:rsidR="57A38557" w:rsidRPr="005C272F">
        <w:rPr>
          <w:rFonts w:ascii="Times New Roman" w:eastAsia="Times New Roman" w:hAnsi="Times New Roman" w:cs="Times New Roman"/>
          <w:sz w:val="20"/>
          <w:szCs w:val="20"/>
          <w:vertAlign w:val="superscript"/>
          <w:lang w:val="es-CL"/>
        </w:rPr>
        <w:t>b</w:t>
      </w:r>
      <w:proofErr w:type="spellEnd"/>
      <w:r w:rsidR="57A38557" w:rsidRPr="005C272F">
        <w:rPr>
          <w:rFonts w:ascii="Times New Roman" w:eastAsia="Times New Roman" w:hAnsi="Times New Roman" w:cs="Times New Roman"/>
          <w:sz w:val="20"/>
          <w:szCs w:val="20"/>
          <w:lang w:val="es-CL"/>
        </w:rPr>
        <w:t xml:space="preserve"> ORCID </w:t>
      </w:r>
      <w:proofErr w:type="spellStart"/>
      <w:r w:rsidR="57A38557" w:rsidRPr="005C272F">
        <w:rPr>
          <w:rFonts w:ascii="Times New Roman" w:eastAsia="Times New Roman" w:hAnsi="Times New Roman" w:cs="Times New Roman"/>
          <w:sz w:val="20"/>
          <w:szCs w:val="20"/>
          <w:lang w:val="es-CL"/>
        </w:rPr>
        <w:t>iD</w:t>
      </w:r>
      <w:proofErr w:type="spellEnd"/>
      <w:r w:rsidR="57A38557" w:rsidRPr="005C272F">
        <w:rPr>
          <w:rFonts w:ascii="Times New Roman" w:eastAsia="Times New Roman" w:hAnsi="Times New Roman" w:cs="Times New Roman"/>
          <w:sz w:val="20"/>
          <w:szCs w:val="20"/>
          <w:lang w:val="es-CL"/>
        </w:rPr>
        <w:t xml:space="preserve"> (</w:t>
      </w:r>
      <w:r w:rsidR="005C272F" w:rsidRPr="001D45AD">
        <w:rPr>
          <w:rStyle w:val="Hipervnculo"/>
          <w:rFonts w:ascii="Times New Roman" w:hAnsi="Times New Roman" w:cs="Times New Roman"/>
          <w:sz w:val="20"/>
          <w:szCs w:val="20"/>
          <w:lang w:val="es-CL"/>
        </w:rPr>
        <w:t>0000-0003-0749-0551</w:t>
      </w:r>
      <w:r w:rsidR="57A38557" w:rsidRPr="005C272F">
        <w:rPr>
          <w:rFonts w:ascii="Times New Roman" w:eastAsia="Times New Roman" w:hAnsi="Times New Roman" w:cs="Times New Roman"/>
          <w:sz w:val="20"/>
          <w:szCs w:val="20"/>
          <w:lang w:val="es-CL"/>
        </w:rPr>
        <w:t>)</w:t>
      </w:r>
    </w:p>
    <w:p w14:paraId="677DC12C" w14:textId="32328D91" w:rsidR="57A38557" w:rsidRPr="005348E2" w:rsidRDefault="00BC5186" w:rsidP="000E6175">
      <w:pPr>
        <w:jc w:val="center"/>
        <w:rPr>
          <w:rFonts w:ascii="Times New Roman" w:hAnsi="Times New Roman" w:cs="Times New Roman"/>
          <w:color w:val="FF0000"/>
          <w:sz w:val="22"/>
          <w:szCs w:val="22"/>
          <w:lang w:val="es-CL"/>
        </w:rPr>
      </w:pPr>
      <w:r w:rsidRPr="005C272F">
        <w:rPr>
          <w:rFonts w:ascii="Times New Roman" w:eastAsia="Times New Roman" w:hAnsi="Times New Roman" w:cs="Times New Roman"/>
          <w:sz w:val="20"/>
          <w:szCs w:val="20"/>
          <w:lang w:val="es-CL"/>
        </w:rPr>
        <w:t xml:space="preserve">Patricio </w:t>
      </w:r>
      <w:proofErr w:type="spellStart"/>
      <w:r w:rsidRPr="005C272F">
        <w:rPr>
          <w:rFonts w:ascii="Times New Roman" w:eastAsia="Times New Roman" w:hAnsi="Times New Roman" w:cs="Times New Roman"/>
          <w:sz w:val="20"/>
          <w:szCs w:val="20"/>
          <w:lang w:val="es-CL"/>
        </w:rPr>
        <w:t>Cumsille</w:t>
      </w:r>
      <w:proofErr w:type="spellEnd"/>
      <w:r w:rsidRPr="005C272F">
        <w:rPr>
          <w:rFonts w:ascii="Times New Roman" w:eastAsia="Times New Roman" w:hAnsi="Times New Roman" w:cs="Times New Roman"/>
          <w:sz w:val="20"/>
          <w:szCs w:val="20"/>
          <w:lang w:val="es-CL"/>
        </w:rPr>
        <w:t xml:space="preserve"> </w:t>
      </w:r>
      <w:proofErr w:type="spellStart"/>
      <w:r w:rsidRPr="005C272F">
        <w:rPr>
          <w:rFonts w:ascii="Times New Roman" w:eastAsia="Times New Roman" w:hAnsi="Times New Roman" w:cs="Times New Roman"/>
          <w:sz w:val="20"/>
          <w:szCs w:val="20"/>
          <w:lang w:val="es-CL"/>
        </w:rPr>
        <w:t>Atala</w:t>
      </w:r>
      <w:r w:rsidR="00765E49" w:rsidRPr="005C272F">
        <w:rPr>
          <w:rFonts w:ascii="Times New Roman" w:eastAsia="Times New Roman" w:hAnsi="Times New Roman" w:cs="Times New Roman"/>
          <w:sz w:val="20"/>
          <w:szCs w:val="20"/>
          <w:vertAlign w:val="superscript"/>
          <w:lang w:val="es-CL"/>
        </w:rPr>
        <w:t>c</w:t>
      </w:r>
      <w:proofErr w:type="spellEnd"/>
      <w:r w:rsidR="005D6A6A" w:rsidRPr="005C272F">
        <w:rPr>
          <w:rFonts w:ascii="Times New Roman" w:eastAsia="Times New Roman" w:hAnsi="Times New Roman" w:cs="Times New Roman"/>
          <w:sz w:val="20"/>
          <w:szCs w:val="20"/>
          <w:lang w:val="es-CL"/>
        </w:rPr>
        <w:t xml:space="preserve"> O</w:t>
      </w:r>
      <w:r w:rsidR="57A38557" w:rsidRPr="005C272F">
        <w:rPr>
          <w:rFonts w:ascii="Times New Roman" w:eastAsia="Times New Roman" w:hAnsi="Times New Roman" w:cs="Times New Roman"/>
          <w:sz w:val="20"/>
          <w:szCs w:val="20"/>
          <w:lang w:val="es-CL"/>
        </w:rPr>
        <w:t xml:space="preserve">RCID </w:t>
      </w:r>
      <w:proofErr w:type="spellStart"/>
      <w:r w:rsidR="57A38557" w:rsidRPr="005C272F">
        <w:rPr>
          <w:rFonts w:ascii="Times New Roman" w:eastAsia="Times New Roman" w:hAnsi="Times New Roman" w:cs="Times New Roman"/>
          <w:sz w:val="20"/>
          <w:szCs w:val="20"/>
          <w:lang w:val="es-CL"/>
        </w:rPr>
        <w:t>iD</w:t>
      </w:r>
      <w:proofErr w:type="spellEnd"/>
      <w:r w:rsidR="57A38557" w:rsidRPr="005C272F">
        <w:rPr>
          <w:rFonts w:ascii="Times New Roman" w:eastAsia="Times New Roman" w:hAnsi="Times New Roman" w:cs="Times New Roman"/>
          <w:sz w:val="20"/>
          <w:szCs w:val="20"/>
          <w:lang w:val="es-CL"/>
        </w:rPr>
        <w:t xml:space="preserve"> (</w:t>
      </w:r>
      <w:r w:rsidR="00BC0B25" w:rsidRPr="005C272F">
        <w:rPr>
          <w:rStyle w:val="Hipervnculo"/>
          <w:rFonts w:ascii="Times New Roman" w:hAnsi="Times New Roman" w:cs="Times New Roman"/>
          <w:sz w:val="20"/>
          <w:szCs w:val="20"/>
          <w:lang w:val="es-CL"/>
        </w:rPr>
        <w:t>0000-0003-1067-129X</w:t>
      </w:r>
      <w:r w:rsidR="57A38557" w:rsidRPr="005C272F">
        <w:rPr>
          <w:rFonts w:ascii="Times New Roman" w:eastAsia="Times New Roman" w:hAnsi="Times New Roman" w:cs="Times New Roman"/>
          <w:sz w:val="20"/>
          <w:szCs w:val="20"/>
          <w:lang w:val="es-CL"/>
        </w:rPr>
        <w:t>)</w:t>
      </w:r>
    </w:p>
    <w:p w14:paraId="684C7BEA" w14:textId="13548F1A" w:rsidR="00B260F2" w:rsidRPr="003E23A0" w:rsidRDefault="00B260F2" w:rsidP="00B260F2">
      <w:pPr>
        <w:jc w:val="center"/>
        <w:rPr>
          <w:rFonts w:ascii="Times New Roman" w:hAnsi="Times New Roman" w:cs="Times New Roman"/>
          <w:color w:val="FF0000"/>
          <w:sz w:val="22"/>
          <w:szCs w:val="22"/>
          <w:lang w:val="es-CL"/>
        </w:rPr>
      </w:pPr>
      <w:r w:rsidRPr="003E23A0">
        <w:rPr>
          <w:rFonts w:ascii="Times New Roman" w:eastAsia="Times New Roman" w:hAnsi="Times New Roman" w:cs="Times New Roman"/>
          <w:sz w:val="20"/>
          <w:szCs w:val="20"/>
          <w:lang w:val="es-CL"/>
        </w:rPr>
        <w:t xml:space="preserve">Asia </w:t>
      </w:r>
      <w:proofErr w:type="spellStart"/>
      <w:r w:rsidRPr="003E23A0">
        <w:rPr>
          <w:rFonts w:ascii="Times New Roman" w:eastAsia="Times New Roman" w:hAnsi="Times New Roman" w:cs="Times New Roman"/>
          <w:sz w:val="20"/>
          <w:szCs w:val="20"/>
          <w:lang w:val="es-CL"/>
        </w:rPr>
        <w:t>Nechache</w:t>
      </w:r>
      <w:r w:rsidR="00765E49" w:rsidRPr="003E23A0">
        <w:rPr>
          <w:rFonts w:ascii="Times New Roman" w:eastAsia="Times New Roman" w:hAnsi="Times New Roman" w:cs="Times New Roman"/>
          <w:sz w:val="20"/>
          <w:szCs w:val="20"/>
          <w:vertAlign w:val="superscript"/>
          <w:lang w:val="es-CL"/>
        </w:rPr>
        <w:t>d</w:t>
      </w:r>
      <w:proofErr w:type="spellEnd"/>
      <w:r w:rsidRPr="003E23A0">
        <w:rPr>
          <w:rFonts w:ascii="Times New Roman" w:eastAsia="Times New Roman" w:hAnsi="Times New Roman" w:cs="Times New Roman"/>
          <w:sz w:val="20"/>
          <w:szCs w:val="20"/>
          <w:lang w:val="es-CL"/>
        </w:rPr>
        <w:t xml:space="preserve"> ORCID </w:t>
      </w:r>
      <w:proofErr w:type="spellStart"/>
      <w:r w:rsidRPr="003E23A0">
        <w:rPr>
          <w:rFonts w:ascii="Times New Roman" w:eastAsia="Times New Roman" w:hAnsi="Times New Roman" w:cs="Times New Roman"/>
          <w:sz w:val="20"/>
          <w:szCs w:val="20"/>
          <w:lang w:val="es-CL"/>
        </w:rPr>
        <w:t>iD</w:t>
      </w:r>
      <w:proofErr w:type="spellEnd"/>
      <w:r w:rsidRPr="003E23A0">
        <w:rPr>
          <w:rFonts w:ascii="Times New Roman" w:eastAsia="Times New Roman" w:hAnsi="Times New Roman" w:cs="Times New Roman"/>
          <w:sz w:val="20"/>
          <w:szCs w:val="20"/>
          <w:lang w:val="es-CL"/>
        </w:rPr>
        <w:t xml:space="preserve"> (</w:t>
      </w:r>
      <w:r w:rsidR="00CB6113" w:rsidRPr="00EF1A48">
        <w:rPr>
          <w:rStyle w:val="Hipervnculo"/>
          <w:rFonts w:ascii="Times New Roman" w:hAnsi="Times New Roman" w:cs="Times New Roman"/>
          <w:sz w:val="20"/>
          <w:szCs w:val="20"/>
          <w:lang w:val="es-CL"/>
        </w:rPr>
        <w:t>0000-0001-9650-1261</w:t>
      </w:r>
      <w:r w:rsidRPr="003E23A0">
        <w:rPr>
          <w:rFonts w:ascii="Times New Roman" w:eastAsia="Times New Roman" w:hAnsi="Times New Roman" w:cs="Times New Roman"/>
          <w:sz w:val="20"/>
          <w:szCs w:val="20"/>
          <w:lang w:val="es-CL"/>
        </w:rPr>
        <w:t>)</w:t>
      </w:r>
    </w:p>
    <w:p w14:paraId="283628E9" w14:textId="3B3F8947" w:rsidR="57A38557" w:rsidRPr="003E23A0" w:rsidRDefault="57A38557" w:rsidP="57A38557">
      <w:pPr>
        <w:jc w:val="center"/>
        <w:rPr>
          <w:rFonts w:ascii="Times New Roman" w:eastAsia="Times New Roman" w:hAnsi="Times New Roman" w:cs="Times New Roman"/>
          <w:lang w:val="es-CL"/>
        </w:rPr>
      </w:pPr>
    </w:p>
    <w:p w14:paraId="1C0BF59B" w14:textId="7B73695A" w:rsidR="00BC5186" w:rsidRPr="00035295" w:rsidRDefault="3992458D" w:rsidP="3992458D">
      <w:pPr>
        <w:jc w:val="center"/>
        <w:rPr>
          <w:rStyle w:val="normaltextrun"/>
          <w:rFonts w:ascii="Times New Roman" w:hAnsi="Times New Roman" w:cs="Times New Roman"/>
          <w:sz w:val="16"/>
          <w:szCs w:val="16"/>
          <w:lang w:val="es-CL"/>
        </w:rPr>
      </w:pPr>
      <w:r w:rsidRPr="00035295">
        <w:rPr>
          <w:rFonts w:ascii="Times New Roman" w:eastAsia="Times New Roman" w:hAnsi="Times New Roman" w:cs="Times New Roman"/>
          <w:sz w:val="16"/>
          <w:szCs w:val="16"/>
          <w:vertAlign w:val="superscript"/>
          <w:lang w:val="es-CL"/>
        </w:rPr>
        <w:t>a</w:t>
      </w:r>
      <w:r w:rsidRPr="00035295">
        <w:rPr>
          <w:rFonts w:ascii="Times New Roman" w:eastAsia="Times New Roman" w:hAnsi="Times New Roman" w:cs="Times New Roman"/>
          <w:sz w:val="16"/>
          <w:szCs w:val="16"/>
          <w:lang w:val="es-CL"/>
        </w:rPr>
        <w:t xml:space="preserve"> </w:t>
      </w:r>
      <w:r w:rsidR="00BC5186" w:rsidRPr="00035295">
        <w:rPr>
          <w:rStyle w:val="normaltextrun"/>
          <w:rFonts w:ascii="Times New Roman" w:hAnsi="Times New Roman" w:cs="Times New Roman"/>
          <w:sz w:val="16"/>
          <w:szCs w:val="16"/>
          <w:lang w:val="es-CL"/>
        </w:rPr>
        <w:t xml:space="preserve">Universidad de </w:t>
      </w:r>
      <w:r w:rsidR="00B260F2" w:rsidRPr="00035295">
        <w:rPr>
          <w:rStyle w:val="normaltextrun"/>
          <w:rFonts w:ascii="Times New Roman" w:hAnsi="Times New Roman" w:cs="Times New Roman"/>
          <w:sz w:val="16"/>
          <w:szCs w:val="16"/>
          <w:lang w:val="es-CL"/>
        </w:rPr>
        <w:t>Talca, Escuela</w:t>
      </w:r>
      <w:r w:rsidR="00BC5186" w:rsidRPr="00035295">
        <w:rPr>
          <w:rStyle w:val="normaltextrun"/>
          <w:rFonts w:ascii="Times New Roman" w:hAnsi="Times New Roman" w:cs="Times New Roman"/>
          <w:sz w:val="16"/>
          <w:szCs w:val="16"/>
          <w:lang w:val="es-CL"/>
        </w:rPr>
        <w:t xml:space="preserve"> de Pedagogía en Ciencias Naturales y Exactas, Facultad de Ciencias de la Educación, Linares, Chile. </w:t>
      </w:r>
    </w:p>
    <w:p w14:paraId="3485CD23" w14:textId="6EB1B238" w:rsidR="6589FB0C" w:rsidRPr="005C272F" w:rsidRDefault="3992458D" w:rsidP="6589FB0C">
      <w:pPr>
        <w:jc w:val="center"/>
        <w:rPr>
          <w:rFonts w:ascii="Times New Roman" w:hAnsi="Times New Roman" w:cs="Times New Roman"/>
          <w:lang w:val="es-CL"/>
        </w:rPr>
      </w:pPr>
      <w:r w:rsidRPr="005C272F">
        <w:rPr>
          <w:rFonts w:ascii="Times New Roman" w:eastAsia="Times New Roman" w:hAnsi="Times New Roman" w:cs="Times New Roman"/>
          <w:sz w:val="16"/>
          <w:szCs w:val="16"/>
          <w:vertAlign w:val="superscript"/>
          <w:lang w:val="es-CL"/>
        </w:rPr>
        <w:t>b</w:t>
      </w:r>
      <w:r w:rsidRPr="005C272F">
        <w:rPr>
          <w:rFonts w:ascii="Times New Roman" w:eastAsia="Times New Roman" w:hAnsi="Times New Roman" w:cs="Times New Roman"/>
          <w:sz w:val="16"/>
          <w:szCs w:val="16"/>
          <w:lang w:val="es-CL"/>
        </w:rPr>
        <w:t xml:space="preserve"> </w:t>
      </w:r>
      <w:r w:rsidR="005C272F" w:rsidRPr="005C272F">
        <w:rPr>
          <w:rFonts w:ascii="Times New Roman" w:eastAsia="Times New Roman" w:hAnsi="Times New Roman" w:cs="Times New Roman"/>
          <w:sz w:val="16"/>
          <w:szCs w:val="16"/>
          <w:lang w:val="es-CL"/>
        </w:rPr>
        <w:t>Centro de Investigación de Estudios Avanzados del Maule, Universidad Católica del Maule, Talca, Chile</w:t>
      </w:r>
    </w:p>
    <w:p w14:paraId="7B398D64" w14:textId="23CF0FE6" w:rsidR="00765E49" w:rsidRPr="005C272F" w:rsidRDefault="00765E49" w:rsidP="00765E49">
      <w:pPr>
        <w:jc w:val="center"/>
        <w:rPr>
          <w:rFonts w:ascii="Times New Roman" w:hAnsi="Times New Roman" w:cs="Times New Roman"/>
          <w:lang w:val="en-US"/>
        </w:rPr>
      </w:pPr>
      <w:r w:rsidRPr="00373405">
        <w:rPr>
          <w:rFonts w:ascii="Times New Roman" w:eastAsia="Times New Roman" w:hAnsi="Times New Roman" w:cs="Times New Roman"/>
          <w:sz w:val="16"/>
          <w:szCs w:val="16"/>
          <w:vertAlign w:val="superscript"/>
          <w:lang w:val="en-US"/>
        </w:rPr>
        <w:t>c</w:t>
      </w:r>
      <w:r w:rsidRPr="00373405">
        <w:rPr>
          <w:rFonts w:ascii="Times New Roman" w:eastAsia="Times New Roman" w:hAnsi="Times New Roman" w:cs="Times New Roman"/>
          <w:sz w:val="16"/>
          <w:szCs w:val="16"/>
          <w:lang w:val="en-US"/>
        </w:rPr>
        <w:t xml:space="preserve"> </w:t>
      </w:r>
      <w:r w:rsidR="00954913" w:rsidRPr="005C272F">
        <w:rPr>
          <w:rFonts w:ascii="Times New Roman" w:eastAsia="Times New Roman" w:hAnsi="Times New Roman" w:cs="Times New Roman"/>
          <w:sz w:val="16"/>
          <w:szCs w:val="16"/>
          <w:lang w:val="en-US"/>
        </w:rPr>
        <w:t xml:space="preserve">Department of Basic Sciences, University of Bío-Bío, </w:t>
      </w:r>
      <w:proofErr w:type="spellStart"/>
      <w:r w:rsidR="00954913" w:rsidRPr="005C272F">
        <w:rPr>
          <w:rFonts w:ascii="Times New Roman" w:eastAsia="Times New Roman" w:hAnsi="Times New Roman" w:cs="Times New Roman"/>
          <w:sz w:val="16"/>
          <w:szCs w:val="16"/>
          <w:lang w:val="en-US"/>
        </w:rPr>
        <w:t>Chillán</w:t>
      </w:r>
      <w:proofErr w:type="spellEnd"/>
      <w:r w:rsidR="00954913" w:rsidRPr="005C272F">
        <w:rPr>
          <w:rFonts w:ascii="Times New Roman" w:eastAsia="Times New Roman" w:hAnsi="Times New Roman" w:cs="Times New Roman"/>
          <w:sz w:val="16"/>
          <w:szCs w:val="16"/>
          <w:lang w:val="en-US"/>
        </w:rPr>
        <w:t xml:space="preserve">, Chile and Centre for </w:t>
      </w:r>
      <w:r w:rsidR="00FC3673" w:rsidRPr="005C272F">
        <w:rPr>
          <w:rFonts w:ascii="Times New Roman" w:eastAsia="Times New Roman" w:hAnsi="Times New Roman" w:cs="Times New Roman"/>
          <w:sz w:val="16"/>
          <w:szCs w:val="16"/>
          <w:lang w:val="en-US"/>
        </w:rPr>
        <w:t>Biotechnology</w:t>
      </w:r>
      <w:r w:rsidR="00954913" w:rsidRPr="005C272F">
        <w:rPr>
          <w:rFonts w:ascii="Times New Roman" w:eastAsia="Times New Roman" w:hAnsi="Times New Roman" w:cs="Times New Roman"/>
          <w:sz w:val="16"/>
          <w:szCs w:val="16"/>
          <w:lang w:val="en-US"/>
        </w:rPr>
        <w:t xml:space="preserve"> and Bioengineering (</w:t>
      </w:r>
      <w:proofErr w:type="spellStart"/>
      <w:r w:rsidR="00954913" w:rsidRPr="005C272F">
        <w:rPr>
          <w:rFonts w:ascii="Times New Roman" w:eastAsia="Times New Roman" w:hAnsi="Times New Roman" w:cs="Times New Roman"/>
          <w:sz w:val="16"/>
          <w:szCs w:val="16"/>
          <w:lang w:val="en-US"/>
        </w:rPr>
        <w:t>CeBiB</w:t>
      </w:r>
      <w:proofErr w:type="spellEnd"/>
      <w:r w:rsidR="00954913" w:rsidRPr="005C272F">
        <w:rPr>
          <w:rFonts w:ascii="Times New Roman" w:eastAsia="Times New Roman" w:hAnsi="Times New Roman" w:cs="Times New Roman"/>
          <w:sz w:val="16"/>
          <w:szCs w:val="16"/>
          <w:lang w:val="en-US"/>
        </w:rPr>
        <w:t>), University of Chile, Santiago, Chile.</w:t>
      </w:r>
    </w:p>
    <w:p w14:paraId="69F21F93" w14:textId="22AB185B" w:rsidR="00765E49" w:rsidRPr="003E23A0" w:rsidRDefault="00765E49" w:rsidP="00765E49">
      <w:pPr>
        <w:jc w:val="center"/>
        <w:rPr>
          <w:rFonts w:ascii="Times New Roman" w:hAnsi="Times New Roman" w:cs="Times New Roman"/>
          <w:lang w:val="fr-FR"/>
        </w:rPr>
      </w:pPr>
      <w:proofErr w:type="gramStart"/>
      <w:r w:rsidRPr="003E23A0">
        <w:rPr>
          <w:rFonts w:ascii="Times New Roman" w:eastAsia="Times New Roman" w:hAnsi="Times New Roman" w:cs="Times New Roman"/>
          <w:sz w:val="16"/>
          <w:szCs w:val="16"/>
          <w:vertAlign w:val="superscript"/>
          <w:lang w:val="fr-FR"/>
        </w:rPr>
        <w:t>d</w:t>
      </w:r>
      <w:proofErr w:type="gramEnd"/>
      <w:r w:rsidRPr="003E23A0">
        <w:rPr>
          <w:rFonts w:ascii="Times New Roman" w:eastAsia="Times New Roman" w:hAnsi="Times New Roman" w:cs="Times New Roman"/>
          <w:sz w:val="16"/>
          <w:szCs w:val="16"/>
          <w:lang w:val="fr-FR"/>
        </w:rPr>
        <w:t xml:space="preserve"> </w:t>
      </w:r>
      <w:r w:rsidR="00EF1A48" w:rsidRPr="003E23A0">
        <w:rPr>
          <w:rFonts w:ascii="Times New Roman" w:eastAsia="Times New Roman" w:hAnsi="Times New Roman" w:cs="Times New Roman"/>
          <w:sz w:val="16"/>
          <w:szCs w:val="16"/>
          <w:lang w:val="fr-FR"/>
        </w:rPr>
        <w:t xml:space="preserve">LDAR, CY Cergy Paris Université, </w:t>
      </w:r>
      <w:r w:rsidR="00FC3673">
        <w:rPr>
          <w:rFonts w:ascii="Times New Roman" w:eastAsia="Times New Roman" w:hAnsi="Times New Roman" w:cs="Times New Roman"/>
          <w:sz w:val="16"/>
          <w:szCs w:val="16"/>
          <w:lang w:val="fr-FR"/>
        </w:rPr>
        <w:t>France.</w:t>
      </w:r>
      <w:r w:rsidR="00EF1A48" w:rsidRPr="003E23A0">
        <w:rPr>
          <w:rFonts w:ascii="Times New Roman" w:eastAsia="Times New Roman" w:hAnsi="Times New Roman" w:cs="Times New Roman"/>
          <w:sz w:val="16"/>
          <w:szCs w:val="16"/>
          <w:lang w:val="fr-FR"/>
        </w:rPr>
        <w:t xml:space="preserve"> </w:t>
      </w:r>
    </w:p>
    <w:p w14:paraId="53E87B8B" w14:textId="1B5811BD" w:rsidR="235DF6B6" w:rsidRPr="003E23A0" w:rsidRDefault="235DF6B6" w:rsidP="000E6175">
      <w:pPr>
        <w:jc w:val="center"/>
        <w:rPr>
          <w:rFonts w:ascii="Times New Roman" w:eastAsia="Times New Roman" w:hAnsi="Times New Roman" w:cs="Times New Roman"/>
          <w:lang w:val="fr-FR"/>
        </w:rPr>
      </w:pPr>
    </w:p>
    <w:bookmarkEnd w:id="0"/>
    <w:p w14:paraId="4590FEE8" w14:textId="18BB74B6" w:rsidR="235DF6B6" w:rsidRPr="00035295" w:rsidRDefault="235DF6B6" w:rsidP="235DF6B6">
      <w:pPr>
        <w:ind w:firstLine="709"/>
        <w:rPr>
          <w:rFonts w:ascii="Times New Roman" w:hAnsi="Times New Roman" w:cs="Times New Roman"/>
          <w:sz w:val="22"/>
          <w:szCs w:val="22"/>
          <w:lang w:val="es-CL"/>
        </w:rPr>
      </w:pPr>
      <w:r w:rsidRPr="00035295">
        <w:rPr>
          <w:rFonts w:ascii="Times New Roman" w:eastAsia="Times New Roman" w:hAnsi="Times New Roman" w:cs="Times New Roman"/>
          <w:b/>
          <w:bCs/>
          <w:lang w:val="es-CL"/>
        </w:rPr>
        <w:t>RESUM</w:t>
      </w:r>
      <w:r w:rsidR="0039219B" w:rsidRPr="00035295">
        <w:rPr>
          <w:rFonts w:ascii="Times New Roman" w:eastAsia="Times New Roman" w:hAnsi="Times New Roman" w:cs="Times New Roman"/>
          <w:b/>
          <w:bCs/>
          <w:lang w:val="es-CL"/>
        </w:rPr>
        <w:t>EN</w:t>
      </w:r>
    </w:p>
    <w:p w14:paraId="6A5EB14C" w14:textId="4407AF4B" w:rsidR="235DF6B6" w:rsidRPr="0021551D" w:rsidRDefault="00D36DF2" w:rsidP="00404308">
      <w:pPr>
        <w:pStyle w:val="Default"/>
        <w:jc w:val="both"/>
        <w:rPr>
          <w:b/>
          <w:bCs/>
          <w:color w:val="auto"/>
          <w:sz w:val="20"/>
          <w:szCs w:val="20"/>
        </w:rPr>
      </w:pPr>
      <w:r w:rsidRPr="0021551D">
        <w:rPr>
          <w:rFonts w:eastAsia="Times New Roman"/>
          <w:b/>
          <w:bCs/>
          <w:color w:val="auto"/>
          <w:sz w:val="20"/>
          <w:szCs w:val="20"/>
        </w:rPr>
        <w:t>Contexto:</w:t>
      </w:r>
      <w:r w:rsidR="00B012FA">
        <w:rPr>
          <w:rFonts w:eastAsia="Times New Roman"/>
          <w:b/>
          <w:bCs/>
          <w:color w:val="auto"/>
          <w:sz w:val="20"/>
          <w:szCs w:val="20"/>
        </w:rPr>
        <w:t xml:space="preserve"> </w:t>
      </w:r>
      <w:r w:rsidR="00E20737">
        <w:rPr>
          <w:rFonts w:eastAsia="Times New Roman"/>
          <w:sz w:val="20"/>
          <w:szCs w:val="20"/>
        </w:rPr>
        <w:t>Estudiamos</w:t>
      </w:r>
      <w:r w:rsidR="007B19AC">
        <w:rPr>
          <w:rFonts w:eastAsia="Times New Roman"/>
          <w:sz w:val="20"/>
          <w:szCs w:val="20"/>
        </w:rPr>
        <w:t xml:space="preserve"> la resolución de tareas</w:t>
      </w:r>
      <w:r w:rsidR="007B19AC" w:rsidRPr="00890FF7">
        <w:rPr>
          <w:rFonts w:eastAsia="Times New Roman"/>
          <w:sz w:val="20"/>
          <w:szCs w:val="20"/>
        </w:rPr>
        <w:t xml:space="preserve"> </w:t>
      </w:r>
      <w:r w:rsidR="007B19AC">
        <w:rPr>
          <w:rFonts w:eastAsia="Times New Roman"/>
          <w:sz w:val="20"/>
          <w:szCs w:val="20"/>
        </w:rPr>
        <w:t xml:space="preserve">de </w:t>
      </w:r>
      <w:r w:rsidR="007B19AC" w:rsidRPr="00890FF7">
        <w:rPr>
          <w:rFonts w:eastAsia="Times New Roman"/>
          <w:sz w:val="20"/>
          <w:szCs w:val="20"/>
        </w:rPr>
        <w:t xml:space="preserve">modelización </w:t>
      </w:r>
      <w:r w:rsidR="007B19AC">
        <w:rPr>
          <w:rFonts w:eastAsia="Times New Roman"/>
          <w:sz w:val="20"/>
          <w:szCs w:val="20"/>
        </w:rPr>
        <w:t xml:space="preserve">matemática de problemas de investigación genuinos </w:t>
      </w:r>
      <w:r w:rsidR="007B19AC" w:rsidRPr="00890FF7">
        <w:rPr>
          <w:rFonts w:eastAsia="Times New Roman"/>
          <w:sz w:val="20"/>
          <w:szCs w:val="20"/>
        </w:rPr>
        <w:t xml:space="preserve">en </w:t>
      </w:r>
      <w:r w:rsidR="007B19AC">
        <w:rPr>
          <w:rFonts w:eastAsia="Times New Roman"/>
          <w:sz w:val="20"/>
          <w:szCs w:val="20"/>
        </w:rPr>
        <w:t xml:space="preserve">educación universitaria a través de la complementariedad </w:t>
      </w:r>
      <w:r w:rsidR="007B19AC">
        <w:rPr>
          <w:rFonts w:eastAsia="Times New Roman"/>
          <w:color w:val="auto"/>
          <w:sz w:val="20"/>
          <w:szCs w:val="20"/>
        </w:rPr>
        <w:t xml:space="preserve">entre </w:t>
      </w:r>
      <w:r w:rsidR="00336785">
        <w:rPr>
          <w:rFonts w:eastAsia="Times New Roman"/>
          <w:color w:val="auto"/>
          <w:sz w:val="20"/>
          <w:szCs w:val="20"/>
        </w:rPr>
        <w:t xml:space="preserve">el </w:t>
      </w:r>
      <w:r w:rsidR="007B19AC" w:rsidRPr="00336785">
        <w:rPr>
          <w:rFonts w:eastAsia="Times New Roman"/>
          <w:color w:val="auto"/>
          <w:sz w:val="20"/>
          <w:szCs w:val="20"/>
        </w:rPr>
        <w:t xml:space="preserve">ciclo de modelización de </w:t>
      </w:r>
      <w:proofErr w:type="spellStart"/>
      <w:r w:rsidR="007B19AC" w:rsidRPr="00336785">
        <w:rPr>
          <w:rFonts w:eastAsia="Times New Roman"/>
          <w:color w:val="auto"/>
          <w:sz w:val="20"/>
          <w:szCs w:val="20"/>
        </w:rPr>
        <w:t>Blomhøj</w:t>
      </w:r>
      <w:proofErr w:type="spellEnd"/>
      <w:r w:rsidR="007B19AC" w:rsidRPr="00336785">
        <w:rPr>
          <w:rFonts w:eastAsia="Times New Roman"/>
          <w:color w:val="auto"/>
          <w:sz w:val="20"/>
          <w:szCs w:val="20"/>
        </w:rPr>
        <w:t xml:space="preserve"> y </w:t>
      </w:r>
      <w:r w:rsidR="00336785">
        <w:rPr>
          <w:rFonts w:eastAsia="Times New Roman"/>
          <w:color w:val="auto"/>
          <w:sz w:val="20"/>
          <w:szCs w:val="20"/>
        </w:rPr>
        <w:t xml:space="preserve">los </w:t>
      </w:r>
      <w:r w:rsidR="007B19AC" w:rsidRPr="00336785">
        <w:rPr>
          <w:rFonts w:eastAsia="Times New Roman"/>
          <w:color w:val="auto"/>
          <w:sz w:val="20"/>
          <w:szCs w:val="20"/>
        </w:rPr>
        <w:t>Espacios de Trabajo Matemático (ETM)</w:t>
      </w:r>
      <w:r w:rsidR="0088108A" w:rsidRPr="00336785">
        <w:rPr>
          <w:rFonts w:eastAsia="Times New Roman"/>
          <w:sz w:val="20"/>
          <w:szCs w:val="20"/>
        </w:rPr>
        <w:t>.</w:t>
      </w:r>
      <w:r w:rsidR="007B19AC" w:rsidRPr="00336785">
        <w:rPr>
          <w:rFonts w:eastAsia="Times New Roman"/>
          <w:sz w:val="20"/>
          <w:szCs w:val="20"/>
        </w:rPr>
        <w:t xml:space="preserve"> </w:t>
      </w:r>
      <w:r w:rsidR="007B19AC">
        <w:rPr>
          <w:rFonts w:eastAsia="Times New Roman"/>
          <w:sz w:val="20"/>
          <w:szCs w:val="20"/>
        </w:rPr>
        <w:t xml:space="preserve">El primer </w:t>
      </w:r>
      <w:r w:rsidR="004E0715">
        <w:rPr>
          <w:rFonts w:eastAsia="Times New Roman"/>
          <w:sz w:val="20"/>
          <w:szCs w:val="20"/>
        </w:rPr>
        <w:t>modelo</w:t>
      </w:r>
      <w:r w:rsidR="007B19AC">
        <w:rPr>
          <w:rFonts w:eastAsia="Times New Roman"/>
          <w:sz w:val="20"/>
          <w:szCs w:val="20"/>
        </w:rPr>
        <w:t xml:space="preserve"> teórico describe y caracteriza las etapas de</w:t>
      </w:r>
      <w:r w:rsidR="000E7B03">
        <w:rPr>
          <w:rFonts w:eastAsia="Times New Roman"/>
          <w:sz w:val="20"/>
          <w:szCs w:val="20"/>
        </w:rPr>
        <w:t>l proceso de</w:t>
      </w:r>
      <w:r w:rsidR="007B19AC">
        <w:rPr>
          <w:rFonts w:eastAsia="Times New Roman"/>
          <w:sz w:val="20"/>
          <w:szCs w:val="20"/>
        </w:rPr>
        <w:t xml:space="preserve"> modelización; el segundo de</w:t>
      </w:r>
      <w:r w:rsidR="000E7B03">
        <w:rPr>
          <w:rFonts w:eastAsia="Times New Roman"/>
          <w:sz w:val="20"/>
          <w:szCs w:val="20"/>
        </w:rPr>
        <w:t>scribe y caracteriza el trabajo matemático considerando la dimensión epistemológica</w:t>
      </w:r>
      <w:r w:rsidR="00E20737">
        <w:rPr>
          <w:rFonts w:eastAsia="Times New Roman"/>
          <w:sz w:val="20"/>
          <w:szCs w:val="20"/>
        </w:rPr>
        <w:t>,</w:t>
      </w:r>
      <w:r w:rsidR="000E7B03">
        <w:rPr>
          <w:rFonts w:eastAsia="Times New Roman"/>
          <w:sz w:val="20"/>
          <w:szCs w:val="20"/>
        </w:rPr>
        <w:t xml:space="preserve"> relativa al campo matemático considerado, y la cognitiva</w:t>
      </w:r>
      <w:r w:rsidR="00E20737">
        <w:rPr>
          <w:rFonts w:eastAsia="Times New Roman"/>
          <w:sz w:val="20"/>
          <w:szCs w:val="20"/>
        </w:rPr>
        <w:t>,</w:t>
      </w:r>
      <w:r w:rsidR="000E7B03">
        <w:rPr>
          <w:rFonts w:eastAsia="Times New Roman"/>
          <w:sz w:val="20"/>
          <w:szCs w:val="20"/>
        </w:rPr>
        <w:t xml:space="preserve"> relativa a</w:t>
      </w:r>
      <w:r w:rsidR="00E20737">
        <w:rPr>
          <w:rFonts w:eastAsia="Times New Roman"/>
          <w:sz w:val="20"/>
          <w:szCs w:val="20"/>
        </w:rPr>
        <w:t xml:space="preserve"> </w:t>
      </w:r>
      <w:r w:rsidR="001B6E4C">
        <w:rPr>
          <w:rFonts w:eastAsia="Times New Roman"/>
          <w:sz w:val="20"/>
          <w:szCs w:val="20"/>
        </w:rPr>
        <w:t>cómo</w:t>
      </w:r>
      <w:r w:rsidR="00E20737">
        <w:rPr>
          <w:rFonts w:eastAsia="Times New Roman"/>
          <w:sz w:val="20"/>
          <w:szCs w:val="20"/>
        </w:rPr>
        <w:t xml:space="preserve"> un</w:t>
      </w:r>
      <w:r w:rsidR="000E7B03">
        <w:rPr>
          <w:rFonts w:eastAsia="Times New Roman"/>
          <w:sz w:val="20"/>
          <w:szCs w:val="20"/>
        </w:rPr>
        <w:t xml:space="preserve"> sujeto que resuelve tareas</w:t>
      </w:r>
      <w:r w:rsidR="00E20737">
        <w:rPr>
          <w:rFonts w:eastAsia="Times New Roman"/>
          <w:sz w:val="20"/>
          <w:szCs w:val="20"/>
        </w:rPr>
        <w:t xml:space="preserve"> se apropia del conocimiento</w:t>
      </w:r>
      <w:r w:rsidR="000E7B03">
        <w:rPr>
          <w:rFonts w:eastAsia="Times New Roman"/>
          <w:sz w:val="20"/>
          <w:szCs w:val="20"/>
        </w:rPr>
        <w:t>.</w:t>
      </w:r>
      <w:r w:rsidR="007B19AC">
        <w:rPr>
          <w:rFonts w:eastAsia="Times New Roman"/>
          <w:sz w:val="20"/>
          <w:szCs w:val="20"/>
        </w:rPr>
        <w:t xml:space="preserve"> </w:t>
      </w:r>
      <w:r w:rsidR="00C34C00">
        <w:rPr>
          <w:rFonts w:eastAsia="Times New Roman"/>
          <w:b/>
          <w:bCs/>
          <w:sz w:val="20"/>
          <w:szCs w:val="20"/>
        </w:rPr>
        <w:t>O</w:t>
      </w:r>
      <w:r w:rsidR="006A705A" w:rsidRPr="0021551D">
        <w:rPr>
          <w:rFonts w:eastAsia="Times New Roman"/>
          <w:b/>
          <w:bCs/>
          <w:color w:val="auto"/>
          <w:sz w:val="20"/>
          <w:szCs w:val="20"/>
        </w:rPr>
        <w:t>bjetivo:</w:t>
      </w:r>
      <w:r w:rsidR="006A705A" w:rsidRPr="0021551D">
        <w:rPr>
          <w:rFonts w:eastAsia="Times New Roman"/>
          <w:color w:val="auto"/>
          <w:sz w:val="20"/>
          <w:szCs w:val="20"/>
        </w:rPr>
        <w:t xml:space="preserve"> </w:t>
      </w:r>
      <w:r w:rsidR="004A6A0B">
        <w:rPr>
          <w:rFonts w:eastAsia="Times New Roman"/>
          <w:color w:val="auto"/>
          <w:sz w:val="20"/>
          <w:szCs w:val="20"/>
        </w:rPr>
        <w:t xml:space="preserve">Nos preguntamos </w:t>
      </w:r>
      <w:r w:rsidR="00D66A82">
        <w:rPr>
          <w:rFonts w:eastAsia="Times New Roman"/>
          <w:color w:val="auto"/>
          <w:sz w:val="20"/>
          <w:szCs w:val="20"/>
        </w:rPr>
        <w:t xml:space="preserve">cómo </w:t>
      </w:r>
      <w:r w:rsidR="004512C0">
        <w:rPr>
          <w:rFonts w:eastAsia="Times New Roman"/>
          <w:color w:val="auto"/>
          <w:sz w:val="20"/>
          <w:szCs w:val="20"/>
        </w:rPr>
        <w:t>s</w:t>
      </w:r>
      <w:r w:rsidR="004A6A0B">
        <w:rPr>
          <w:rFonts w:eastAsia="Times New Roman"/>
          <w:color w:val="auto"/>
          <w:sz w:val="20"/>
          <w:szCs w:val="20"/>
        </w:rPr>
        <w:t xml:space="preserve">e </w:t>
      </w:r>
      <w:r w:rsidR="00D66A82">
        <w:rPr>
          <w:rFonts w:eastAsia="Times New Roman"/>
          <w:color w:val="auto"/>
          <w:sz w:val="20"/>
          <w:szCs w:val="20"/>
        </w:rPr>
        <w:t>desglosa</w:t>
      </w:r>
      <w:r w:rsidR="0088108A">
        <w:rPr>
          <w:rFonts w:eastAsia="Times New Roman"/>
          <w:color w:val="auto"/>
          <w:sz w:val="20"/>
          <w:szCs w:val="20"/>
        </w:rPr>
        <w:t xml:space="preserve"> la </w:t>
      </w:r>
      <w:r w:rsidR="007359C7" w:rsidRPr="0021551D">
        <w:rPr>
          <w:rFonts w:eastAsia="Times New Roman"/>
          <w:color w:val="auto"/>
          <w:sz w:val="20"/>
          <w:szCs w:val="20"/>
        </w:rPr>
        <w:t xml:space="preserve">complementariedad </w:t>
      </w:r>
      <w:r w:rsidR="007359C7">
        <w:rPr>
          <w:rFonts w:eastAsia="Times New Roman"/>
          <w:color w:val="auto"/>
          <w:sz w:val="20"/>
          <w:szCs w:val="20"/>
        </w:rPr>
        <w:t xml:space="preserve">entre </w:t>
      </w:r>
      <w:r w:rsidR="00E20737">
        <w:rPr>
          <w:rFonts w:eastAsia="Times New Roman"/>
          <w:color w:val="auto"/>
          <w:sz w:val="20"/>
          <w:szCs w:val="20"/>
        </w:rPr>
        <w:t xml:space="preserve">los </w:t>
      </w:r>
      <w:r w:rsidR="0088108A">
        <w:rPr>
          <w:rFonts w:eastAsia="Times New Roman"/>
          <w:color w:val="auto"/>
          <w:sz w:val="20"/>
          <w:szCs w:val="20"/>
        </w:rPr>
        <w:t>dos</w:t>
      </w:r>
      <w:r w:rsidR="007359C7">
        <w:rPr>
          <w:rFonts w:eastAsia="Times New Roman"/>
          <w:color w:val="auto"/>
          <w:sz w:val="20"/>
          <w:szCs w:val="20"/>
        </w:rPr>
        <w:t xml:space="preserve"> marcos teóricos</w:t>
      </w:r>
      <w:r w:rsidR="0088108A">
        <w:rPr>
          <w:rFonts w:eastAsia="Times New Roman"/>
          <w:color w:val="auto"/>
          <w:sz w:val="20"/>
          <w:szCs w:val="20"/>
        </w:rPr>
        <w:t xml:space="preserve"> </w:t>
      </w:r>
      <w:r w:rsidR="00E20737">
        <w:rPr>
          <w:rFonts w:eastAsia="Times New Roman"/>
          <w:color w:val="auto"/>
          <w:sz w:val="20"/>
          <w:szCs w:val="20"/>
        </w:rPr>
        <w:t>mencionados</w:t>
      </w:r>
      <w:r w:rsidR="00D66A82">
        <w:rPr>
          <w:rFonts w:eastAsia="Times New Roman"/>
          <w:color w:val="auto"/>
          <w:sz w:val="20"/>
          <w:szCs w:val="20"/>
        </w:rPr>
        <w:t>, tanto de forma teórica como empírica</w:t>
      </w:r>
      <w:r w:rsidR="0039219B" w:rsidRPr="0021551D">
        <w:rPr>
          <w:rFonts w:eastAsia="Times New Roman"/>
          <w:color w:val="auto"/>
          <w:sz w:val="20"/>
          <w:szCs w:val="20"/>
        </w:rPr>
        <w:t xml:space="preserve">. </w:t>
      </w:r>
      <w:r w:rsidR="007834B4" w:rsidRPr="0021551D">
        <w:rPr>
          <w:b/>
          <w:bCs/>
          <w:color w:val="auto"/>
          <w:sz w:val="20"/>
          <w:szCs w:val="20"/>
        </w:rPr>
        <w:t xml:space="preserve">Diseño: </w:t>
      </w:r>
      <w:r w:rsidR="007834B4" w:rsidRPr="0021551D">
        <w:rPr>
          <w:color w:val="auto"/>
          <w:sz w:val="20"/>
          <w:szCs w:val="20"/>
        </w:rPr>
        <w:t>P</w:t>
      </w:r>
      <w:r w:rsidR="007359C7">
        <w:rPr>
          <w:color w:val="auto"/>
          <w:sz w:val="20"/>
          <w:szCs w:val="20"/>
        </w:rPr>
        <w:t>resentamos</w:t>
      </w:r>
      <w:r w:rsidR="007834B4" w:rsidRPr="0021551D">
        <w:rPr>
          <w:color w:val="auto"/>
          <w:sz w:val="20"/>
          <w:szCs w:val="20"/>
        </w:rPr>
        <w:t xml:space="preserve"> una investigación cualitativa</w:t>
      </w:r>
      <w:r w:rsidR="007359C7">
        <w:rPr>
          <w:color w:val="auto"/>
          <w:sz w:val="20"/>
          <w:szCs w:val="20"/>
        </w:rPr>
        <w:t xml:space="preserve"> </w:t>
      </w:r>
      <w:r w:rsidR="00297D83">
        <w:rPr>
          <w:color w:val="auto"/>
          <w:sz w:val="20"/>
          <w:szCs w:val="20"/>
        </w:rPr>
        <w:t>basada en un estudio de caso</w:t>
      </w:r>
      <w:r w:rsidR="007359C7">
        <w:rPr>
          <w:color w:val="auto"/>
          <w:sz w:val="20"/>
          <w:szCs w:val="20"/>
        </w:rPr>
        <w:t xml:space="preserve"> para</w:t>
      </w:r>
      <w:r w:rsidR="004C65B0" w:rsidRPr="0021551D">
        <w:rPr>
          <w:color w:val="auto"/>
          <w:sz w:val="20"/>
          <w:szCs w:val="20"/>
        </w:rPr>
        <w:t xml:space="preserve"> </w:t>
      </w:r>
      <w:r w:rsidR="00B11E45">
        <w:rPr>
          <w:color w:val="auto"/>
          <w:sz w:val="20"/>
          <w:szCs w:val="20"/>
        </w:rPr>
        <w:t xml:space="preserve">caracterizar </w:t>
      </w:r>
      <w:r w:rsidR="00297D83">
        <w:rPr>
          <w:color w:val="auto"/>
          <w:sz w:val="20"/>
          <w:szCs w:val="20"/>
        </w:rPr>
        <w:t>la resolución de una tarea de modelización</w:t>
      </w:r>
      <w:r w:rsidR="007F0901">
        <w:rPr>
          <w:color w:val="auto"/>
          <w:sz w:val="20"/>
          <w:szCs w:val="20"/>
        </w:rPr>
        <w:t xml:space="preserve"> de </w:t>
      </w:r>
      <w:r w:rsidR="007F0901" w:rsidRPr="0021551D">
        <w:rPr>
          <w:rFonts w:eastAsia="Times New Roman"/>
          <w:color w:val="auto"/>
          <w:sz w:val="20"/>
          <w:szCs w:val="20"/>
        </w:rPr>
        <w:t xml:space="preserve">un problema </w:t>
      </w:r>
      <w:r w:rsidR="001F153C">
        <w:rPr>
          <w:rFonts w:eastAsia="Times New Roman"/>
          <w:color w:val="auto"/>
          <w:sz w:val="20"/>
          <w:szCs w:val="20"/>
        </w:rPr>
        <w:t xml:space="preserve">de investigación </w:t>
      </w:r>
      <w:r w:rsidR="007F0901" w:rsidRPr="0021551D">
        <w:rPr>
          <w:rFonts w:eastAsia="Times New Roman"/>
          <w:color w:val="auto"/>
          <w:sz w:val="20"/>
          <w:szCs w:val="20"/>
        </w:rPr>
        <w:t>genuin</w:t>
      </w:r>
      <w:r w:rsidR="001F153C">
        <w:rPr>
          <w:rFonts w:eastAsia="Times New Roman"/>
          <w:color w:val="auto"/>
          <w:sz w:val="20"/>
          <w:szCs w:val="20"/>
        </w:rPr>
        <w:t>o</w:t>
      </w:r>
      <w:r w:rsidR="007359C7">
        <w:rPr>
          <w:rFonts w:eastAsia="Times New Roman"/>
          <w:color w:val="auto"/>
          <w:sz w:val="20"/>
          <w:szCs w:val="20"/>
        </w:rPr>
        <w:t xml:space="preserve"> a través</w:t>
      </w:r>
      <w:r w:rsidR="00297D83">
        <w:rPr>
          <w:color w:val="auto"/>
          <w:sz w:val="20"/>
          <w:szCs w:val="20"/>
        </w:rPr>
        <w:t xml:space="preserve"> </w:t>
      </w:r>
      <w:r w:rsidR="007359C7">
        <w:rPr>
          <w:color w:val="auto"/>
          <w:sz w:val="20"/>
          <w:szCs w:val="20"/>
        </w:rPr>
        <w:t>de</w:t>
      </w:r>
      <w:r w:rsidR="00297D83">
        <w:rPr>
          <w:color w:val="auto"/>
          <w:sz w:val="20"/>
          <w:szCs w:val="20"/>
        </w:rPr>
        <w:t xml:space="preserve"> la conexión entre el ciclo de </w:t>
      </w:r>
      <w:r w:rsidR="00E216D5" w:rsidRPr="00890FF7">
        <w:rPr>
          <w:rFonts w:eastAsia="Times New Roman"/>
          <w:color w:val="auto"/>
          <w:sz w:val="20"/>
          <w:szCs w:val="20"/>
        </w:rPr>
        <w:t>Blomhøj</w:t>
      </w:r>
      <w:r w:rsidR="00297D83">
        <w:rPr>
          <w:color w:val="auto"/>
          <w:sz w:val="20"/>
          <w:szCs w:val="20"/>
        </w:rPr>
        <w:t xml:space="preserve"> y el ETM</w:t>
      </w:r>
      <w:r w:rsidR="004C65B0" w:rsidRPr="0021551D">
        <w:rPr>
          <w:color w:val="auto"/>
          <w:sz w:val="20"/>
          <w:szCs w:val="20"/>
        </w:rPr>
        <w:t>.</w:t>
      </w:r>
      <w:r w:rsidR="007834B4" w:rsidRPr="0021551D">
        <w:rPr>
          <w:color w:val="auto"/>
          <w:sz w:val="20"/>
          <w:szCs w:val="20"/>
        </w:rPr>
        <w:t xml:space="preserve"> </w:t>
      </w:r>
      <w:r w:rsidR="007834B4" w:rsidRPr="0021551D">
        <w:rPr>
          <w:b/>
          <w:bCs/>
          <w:color w:val="auto"/>
          <w:sz w:val="20"/>
          <w:szCs w:val="20"/>
        </w:rPr>
        <w:t>Entorno y participantes</w:t>
      </w:r>
      <w:r w:rsidR="007834B4" w:rsidRPr="0021551D">
        <w:rPr>
          <w:color w:val="auto"/>
          <w:sz w:val="20"/>
          <w:szCs w:val="20"/>
        </w:rPr>
        <w:t xml:space="preserve">: </w:t>
      </w:r>
      <w:r w:rsidR="004C65B0" w:rsidRPr="0021551D">
        <w:rPr>
          <w:color w:val="auto"/>
          <w:sz w:val="20"/>
          <w:szCs w:val="20"/>
        </w:rPr>
        <w:t>La experimentación solicit</w:t>
      </w:r>
      <w:r w:rsidR="007359C7">
        <w:rPr>
          <w:color w:val="auto"/>
          <w:sz w:val="20"/>
          <w:szCs w:val="20"/>
        </w:rPr>
        <w:t>ó</w:t>
      </w:r>
      <w:r w:rsidR="004C65B0" w:rsidRPr="0021551D">
        <w:rPr>
          <w:color w:val="auto"/>
          <w:sz w:val="20"/>
          <w:szCs w:val="20"/>
        </w:rPr>
        <w:t xml:space="preserve"> la producción escrita e individual </w:t>
      </w:r>
      <w:r w:rsidR="007359C7">
        <w:rPr>
          <w:color w:val="auto"/>
          <w:sz w:val="20"/>
          <w:szCs w:val="20"/>
        </w:rPr>
        <w:t>de</w:t>
      </w:r>
      <w:r w:rsidR="00B11E45">
        <w:rPr>
          <w:color w:val="auto"/>
          <w:sz w:val="20"/>
          <w:szCs w:val="20"/>
        </w:rPr>
        <w:t xml:space="preserve"> estudiantes de</w:t>
      </w:r>
      <w:r w:rsidR="004C65B0" w:rsidRPr="0021551D">
        <w:rPr>
          <w:color w:val="auto"/>
          <w:sz w:val="20"/>
          <w:szCs w:val="20"/>
        </w:rPr>
        <w:t xml:space="preserve"> </w:t>
      </w:r>
      <w:r w:rsidR="00E27142">
        <w:rPr>
          <w:color w:val="auto"/>
          <w:sz w:val="20"/>
          <w:szCs w:val="20"/>
        </w:rPr>
        <w:t xml:space="preserve">cálculo de </w:t>
      </w:r>
      <w:r w:rsidR="004C65B0" w:rsidRPr="0021551D">
        <w:rPr>
          <w:color w:val="auto"/>
          <w:sz w:val="20"/>
          <w:szCs w:val="20"/>
        </w:rPr>
        <w:t xml:space="preserve">segundo año de </w:t>
      </w:r>
      <w:r w:rsidR="00B11E45">
        <w:rPr>
          <w:color w:val="auto"/>
          <w:sz w:val="20"/>
          <w:szCs w:val="20"/>
        </w:rPr>
        <w:t>un</w:t>
      </w:r>
      <w:r w:rsidR="004C65B0" w:rsidRPr="0021551D">
        <w:rPr>
          <w:color w:val="auto"/>
          <w:sz w:val="20"/>
          <w:szCs w:val="20"/>
        </w:rPr>
        <w:t xml:space="preserve">a carrera de </w:t>
      </w:r>
      <w:r w:rsidR="00B11E45">
        <w:rPr>
          <w:color w:val="auto"/>
          <w:sz w:val="20"/>
          <w:szCs w:val="20"/>
        </w:rPr>
        <w:t>i</w:t>
      </w:r>
      <w:r w:rsidR="004C65B0" w:rsidRPr="0021551D">
        <w:rPr>
          <w:color w:val="auto"/>
          <w:sz w:val="20"/>
          <w:szCs w:val="20"/>
        </w:rPr>
        <w:t xml:space="preserve">ngeniería </w:t>
      </w:r>
      <w:r w:rsidR="00B11E45">
        <w:rPr>
          <w:color w:val="auto"/>
          <w:sz w:val="20"/>
          <w:szCs w:val="20"/>
        </w:rPr>
        <w:t>c</w:t>
      </w:r>
      <w:r w:rsidR="004C65B0" w:rsidRPr="0021551D">
        <w:rPr>
          <w:color w:val="auto"/>
          <w:sz w:val="20"/>
          <w:szCs w:val="20"/>
        </w:rPr>
        <w:t xml:space="preserve">ivil en una universidad pública de Chile. </w:t>
      </w:r>
      <w:r w:rsidR="006A705A" w:rsidRPr="0021551D">
        <w:rPr>
          <w:rFonts w:eastAsia="Times New Roman"/>
          <w:b/>
          <w:bCs/>
          <w:color w:val="auto"/>
          <w:sz w:val="20"/>
          <w:szCs w:val="20"/>
        </w:rPr>
        <w:t>Recogida y análisis de datos:</w:t>
      </w:r>
      <w:r w:rsidR="0039219B" w:rsidRPr="0021551D">
        <w:rPr>
          <w:rFonts w:eastAsia="Times New Roman"/>
          <w:color w:val="auto"/>
          <w:sz w:val="20"/>
          <w:szCs w:val="20"/>
        </w:rPr>
        <w:t xml:space="preserve"> </w:t>
      </w:r>
      <w:r w:rsidR="00336785" w:rsidRPr="00336785">
        <w:rPr>
          <w:sz w:val="20"/>
          <w:szCs w:val="20"/>
        </w:rPr>
        <w:t xml:space="preserve">Realizamos un estudio de caso seleccionando un sujeto llamado Juan, cuya producción escrita es representativa del resto de los alumnos. Además, consideramos tres etapas de investigación de la producción escrita de Juan: descripción, análisis e interpretación. </w:t>
      </w:r>
      <w:r w:rsidR="007834B4" w:rsidRPr="00336785">
        <w:rPr>
          <w:rFonts w:eastAsia="Times New Roman"/>
          <w:b/>
          <w:bCs/>
          <w:color w:val="auto"/>
          <w:sz w:val="20"/>
          <w:szCs w:val="20"/>
        </w:rPr>
        <w:t>Resultados:</w:t>
      </w:r>
      <w:r w:rsidR="0039219B" w:rsidRPr="00336785">
        <w:rPr>
          <w:rFonts w:eastAsia="Times New Roman"/>
          <w:color w:val="auto"/>
          <w:sz w:val="20"/>
          <w:szCs w:val="20"/>
        </w:rPr>
        <w:t xml:space="preserve"> </w:t>
      </w:r>
      <w:r w:rsidR="00672900" w:rsidRPr="00336785">
        <w:rPr>
          <w:rFonts w:eastAsia="Times New Roman"/>
          <w:color w:val="auto"/>
          <w:sz w:val="20"/>
          <w:szCs w:val="20"/>
        </w:rPr>
        <w:t>L</w:t>
      </w:r>
      <w:r w:rsidR="0039219B" w:rsidRPr="00336785">
        <w:rPr>
          <w:rFonts w:eastAsia="Times New Roman"/>
          <w:color w:val="auto"/>
          <w:sz w:val="20"/>
          <w:szCs w:val="20"/>
        </w:rPr>
        <w:t>os resultados sugieren que el ciclo de Blomhøj presentaría conexiones con el ETM</w:t>
      </w:r>
      <w:r w:rsidR="007F6571" w:rsidRPr="00336785">
        <w:rPr>
          <w:rFonts w:eastAsia="Times New Roman"/>
          <w:color w:val="auto"/>
          <w:sz w:val="20"/>
          <w:szCs w:val="20"/>
        </w:rPr>
        <w:t xml:space="preserve"> a </w:t>
      </w:r>
      <w:r w:rsidR="0039219B" w:rsidRPr="00336785">
        <w:rPr>
          <w:rFonts w:eastAsia="Times New Roman"/>
          <w:color w:val="auto"/>
          <w:sz w:val="20"/>
          <w:szCs w:val="20"/>
        </w:rPr>
        <w:t>parti</w:t>
      </w:r>
      <w:r w:rsidR="007F6571" w:rsidRPr="00336785">
        <w:rPr>
          <w:rFonts w:eastAsia="Times New Roman"/>
          <w:color w:val="auto"/>
          <w:sz w:val="20"/>
          <w:szCs w:val="20"/>
        </w:rPr>
        <w:t>r</w:t>
      </w:r>
      <w:r w:rsidR="0039219B" w:rsidRPr="00336785">
        <w:rPr>
          <w:rFonts w:eastAsia="Times New Roman"/>
          <w:color w:val="auto"/>
          <w:sz w:val="20"/>
          <w:szCs w:val="20"/>
        </w:rPr>
        <w:t xml:space="preserve"> de la formulación</w:t>
      </w:r>
      <w:r w:rsidR="0039219B" w:rsidRPr="00336785">
        <w:rPr>
          <w:rFonts w:eastAsia="Times New Roman"/>
          <w:color w:val="auto"/>
          <w:sz w:val="22"/>
          <w:szCs w:val="22"/>
        </w:rPr>
        <w:t xml:space="preserve"> del problema</w:t>
      </w:r>
      <w:r w:rsidR="00D66A82" w:rsidRPr="00336785">
        <w:rPr>
          <w:rFonts w:eastAsia="Times New Roman"/>
          <w:color w:val="auto"/>
          <w:sz w:val="22"/>
          <w:szCs w:val="22"/>
        </w:rPr>
        <w:t xml:space="preserve"> y</w:t>
      </w:r>
      <w:r w:rsidR="00D66A82">
        <w:rPr>
          <w:rFonts w:eastAsia="Times New Roman"/>
          <w:color w:val="auto"/>
          <w:sz w:val="20"/>
          <w:szCs w:val="20"/>
        </w:rPr>
        <w:t xml:space="preserve"> no sólo desde la sistematización</w:t>
      </w:r>
      <w:r w:rsidR="00297D83">
        <w:rPr>
          <w:rFonts w:eastAsia="Times New Roman"/>
          <w:color w:val="auto"/>
          <w:sz w:val="20"/>
          <w:szCs w:val="20"/>
        </w:rPr>
        <w:t xml:space="preserve">, </w:t>
      </w:r>
      <w:r w:rsidR="007F6571">
        <w:rPr>
          <w:rFonts w:eastAsia="Times New Roman"/>
          <w:color w:val="auto"/>
          <w:sz w:val="20"/>
          <w:szCs w:val="20"/>
        </w:rPr>
        <w:t>lo cual</w:t>
      </w:r>
      <w:r w:rsidR="00297D83">
        <w:rPr>
          <w:rFonts w:eastAsia="Times New Roman"/>
          <w:color w:val="auto"/>
          <w:sz w:val="20"/>
          <w:szCs w:val="20"/>
        </w:rPr>
        <w:t xml:space="preserve"> es una novedad en este campo de investigación</w:t>
      </w:r>
      <w:r w:rsidR="0039219B" w:rsidRPr="0021551D">
        <w:rPr>
          <w:rFonts w:eastAsia="Times New Roman"/>
          <w:color w:val="auto"/>
          <w:sz w:val="20"/>
          <w:szCs w:val="20"/>
        </w:rPr>
        <w:t>.</w:t>
      </w:r>
      <w:r w:rsidR="00B675D1">
        <w:rPr>
          <w:rFonts w:eastAsia="Times New Roman"/>
          <w:color w:val="auto"/>
          <w:sz w:val="20"/>
          <w:szCs w:val="20"/>
        </w:rPr>
        <w:t xml:space="preserve"> </w:t>
      </w:r>
      <w:r w:rsidR="007834B4" w:rsidRPr="0021551D">
        <w:rPr>
          <w:rFonts w:eastAsia="Times New Roman"/>
          <w:b/>
          <w:bCs/>
          <w:color w:val="auto"/>
          <w:sz w:val="20"/>
          <w:szCs w:val="20"/>
        </w:rPr>
        <w:t xml:space="preserve">Conclusiones: </w:t>
      </w:r>
      <w:r w:rsidR="00336785">
        <w:rPr>
          <w:rFonts w:eastAsia="Times New Roman"/>
          <w:color w:val="auto"/>
          <w:sz w:val="20"/>
          <w:szCs w:val="20"/>
        </w:rPr>
        <w:t xml:space="preserve">Dimos </w:t>
      </w:r>
      <w:r w:rsidR="00666F89" w:rsidRPr="0021551D">
        <w:rPr>
          <w:rFonts w:eastAsia="Times New Roman"/>
          <w:color w:val="auto"/>
          <w:sz w:val="20"/>
          <w:szCs w:val="20"/>
        </w:rPr>
        <w:t xml:space="preserve">y </w:t>
      </w:r>
      <w:r w:rsidR="007834B4" w:rsidRPr="0021551D">
        <w:rPr>
          <w:rFonts w:eastAsia="Times New Roman"/>
          <w:color w:val="auto"/>
          <w:sz w:val="20"/>
          <w:szCs w:val="20"/>
        </w:rPr>
        <w:t>abr</w:t>
      </w:r>
      <w:r w:rsidR="00336785">
        <w:rPr>
          <w:rFonts w:eastAsia="Times New Roman"/>
          <w:color w:val="auto"/>
          <w:sz w:val="20"/>
          <w:szCs w:val="20"/>
        </w:rPr>
        <w:t>imos</w:t>
      </w:r>
      <w:r w:rsidR="007834B4" w:rsidRPr="0021551D">
        <w:rPr>
          <w:rFonts w:eastAsia="Times New Roman"/>
          <w:color w:val="auto"/>
          <w:sz w:val="20"/>
          <w:szCs w:val="20"/>
        </w:rPr>
        <w:t xml:space="preserve"> </w:t>
      </w:r>
      <w:r w:rsidR="0039219B" w:rsidRPr="0021551D">
        <w:rPr>
          <w:rFonts w:eastAsia="Times New Roman"/>
          <w:color w:val="auto"/>
          <w:sz w:val="20"/>
          <w:szCs w:val="20"/>
        </w:rPr>
        <w:t xml:space="preserve">la discusión </w:t>
      </w:r>
      <w:r w:rsidR="00297D83">
        <w:rPr>
          <w:rFonts w:eastAsia="Times New Roman"/>
          <w:color w:val="auto"/>
          <w:sz w:val="20"/>
          <w:szCs w:val="20"/>
        </w:rPr>
        <w:t>para</w:t>
      </w:r>
      <w:r w:rsidR="00666F89" w:rsidRPr="0021551D">
        <w:rPr>
          <w:rFonts w:eastAsia="Times New Roman"/>
          <w:color w:val="auto"/>
          <w:sz w:val="20"/>
          <w:szCs w:val="20"/>
        </w:rPr>
        <w:t xml:space="preserve"> continuar desarroll</w:t>
      </w:r>
      <w:r w:rsidR="0059536F">
        <w:rPr>
          <w:rFonts w:eastAsia="Times New Roman"/>
          <w:color w:val="auto"/>
          <w:sz w:val="20"/>
          <w:szCs w:val="20"/>
        </w:rPr>
        <w:t>ando</w:t>
      </w:r>
      <w:r w:rsidR="00666F89" w:rsidRPr="0021551D">
        <w:rPr>
          <w:rFonts w:eastAsia="Times New Roman"/>
          <w:color w:val="auto"/>
          <w:sz w:val="20"/>
          <w:szCs w:val="20"/>
        </w:rPr>
        <w:t xml:space="preserve"> la complementación ETM-</w:t>
      </w:r>
      <w:r w:rsidR="007F0901">
        <w:rPr>
          <w:rFonts w:eastAsia="Times New Roman"/>
          <w:color w:val="auto"/>
          <w:sz w:val="20"/>
          <w:szCs w:val="20"/>
        </w:rPr>
        <w:t>m</w:t>
      </w:r>
      <w:r w:rsidR="00666F89" w:rsidRPr="0021551D">
        <w:rPr>
          <w:rFonts w:eastAsia="Times New Roman"/>
          <w:color w:val="auto"/>
          <w:sz w:val="20"/>
          <w:szCs w:val="20"/>
        </w:rPr>
        <w:t>odelización</w:t>
      </w:r>
      <w:r w:rsidR="00336785">
        <w:rPr>
          <w:rFonts w:eastAsia="Times New Roman"/>
          <w:color w:val="auto"/>
          <w:sz w:val="20"/>
          <w:szCs w:val="20"/>
        </w:rPr>
        <w:t xml:space="preserve">, </w:t>
      </w:r>
      <w:r w:rsidR="0059536F">
        <w:rPr>
          <w:rFonts w:eastAsia="Times New Roman"/>
          <w:color w:val="auto"/>
          <w:sz w:val="20"/>
          <w:szCs w:val="20"/>
        </w:rPr>
        <w:t>enfatizando</w:t>
      </w:r>
      <w:r w:rsidR="00297D83">
        <w:rPr>
          <w:rFonts w:eastAsia="Times New Roman"/>
          <w:color w:val="auto"/>
          <w:sz w:val="20"/>
          <w:szCs w:val="20"/>
        </w:rPr>
        <w:t xml:space="preserve"> problemas</w:t>
      </w:r>
      <w:r w:rsidR="001F153C">
        <w:rPr>
          <w:rFonts w:eastAsia="Times New Roman"/>
          <w:color w:val="auto"/>
          <w:sz w:val="20"/>
          <w:szCs w:val="20"/>
        </w:rPr>
        <w:t xml:space="preserve"> de investigación </w:t>
      </w:r>
      <w:r w:rsidR="00297D83">
        <w:rPr>
          <w:rFonts w:eastAsia="Times New Roman"/>
          <w:color w:val="auto"/>
          <w:sz w:val="20"/>
          <w:szCs w:val="20"/>
        </w:rPr>
        <w:t>genui</w:t>
      </w:r>
      <w:r w:rsidR="001F153C">
        <w:rPr>
          <w:rFonts w:eastAsia="Times New Roman"/>
          <w:color w:val="auto"/>
          <w:sz w:val="20"/>
          <w:szCs w:val="20"/>
        </w:rPr>
        <w:t>nos</w:t>
      </w:r>
      <w:r w:rsidR="00297D83" w:rsidRPr="0021551D">
        <w:rPr>
          <w:rFonts w:eastAsia="Times New Roman"/>
          <w:color w:val="auto"/>
          <w:sz w:val="20"/>
          <w:szCs w:val="20"/>
        </w:rPr>
        <w:t xml:space="preserve"> </w:t>
      </w:r>
      <w:r w:rsidR="00666F89" w:rsidRPr="0021551D">
        <w:rPr>
          <w:rFonts w:eastAsia="Times New Roman"/>
          <w:color w:val="auto"/>
          <w:sz w:val="20"/>
          <w:szCs w:val="20"/>
        </w:rPr>
        <w:t>en educación superior</w:t>
      </w:r>
      <w:r w:rsidR="00297D83">
        <w:rPr>
          <w:rFonts w:eastAsia="Times New Roman"/>
          <w:color w:val="auto"/>
          <w:sz w:val="20"/>
          <w:szCs w:val="20"/>
        </w:rPr>
        <w:t>.</w:t>
      </w:r>
    </w:p>
    <w:p w14:paraId="6808A502" w14:textId="4C08EFC0" w:rsidR="0039219B" w:rsidRPr="00035295" w:rsidRDefault="0039219B" w:rsidP="0039219B">
      <w:pPr>
        <w:ind w:firstLine="709"/>
        <w:rPr>
          <w:rFonts w:ascii="Times New Roman" w:eastAsia="Times New Roman" w:hAnsi="Times New Roman" w:cs="Times New Roman"/>
          <w:bCs/>
          <w:sz w:val="20"/>
          <w:szCs w:val="20"/>
          <w:lang w:val="es-CL"/>
        </w:rPr>
      </w:pPr>
      <w:r w:rsidRPr="00035295">
        <w:rPr>
          <w:rFonts w:ascii="Times New Roman" w:eastAsia="Times New Roman" w:hAnsi="Times New Roman" w:cs="Times New Roman"/>
          <w:b/>
          <w:bCs/>
          <w:sz w:val="20"/>
          <w:szCs w:val="20"/>
          <w:lang w:val="es-CL"/>
        </w:rPr>
        <w:lastRenderedPageBreak/>
        <w:t>Palabras clave</w:t>
      </w:r>
      <w:r w:rsidRPr="00035295">
        <w:rPr>
          <w:rFonts w:ascii="Times New Roman" w:eastAsia="Times New Roman" w:hAnsi="Times New Roman" w:cs="Times New Roman"/>
          <w:bCs/>
          <w:sz w:val="20"/>
          <w:szCs w:val="20"/>
          <w:lang w:val="es-CL"/>
        </w:rPr>
        <w:t>: Espacios de Trabajo Matemático</w:t>
      </w:r>
      <w:r w:rsidR="007F0901">
        <w:rPr>
          <w:rFonts w:ascii="Times New Roman" w:eastAsia="Times New Roman" w:hAnsi="Times New Roman" w:cs="Times New Roman"/>
          <w:bCs/>
          <w:sz w:val="20"/>
          <w:szCs w:val="20"/>
          <w:lang w:val="es-CL"/>
        </w:rPr>
        <w:t xml:space="preserve"> (ETM)</w:t>
      </w:r>
      <w:r w:rsidR="003E23A0">
        <w:rPr>
          <w:rFonts w:ascii="Times New Roman" w:eastAsia="Times New Roman" w:hAnsi="Times New Roman" w:cs="Times New Roman"/>
          <w:bCs/>
          <w:sz w:val="20"/>
          <w:szCs w:val="20"/>
          <w:lang w:val="es-CL"/>
        </w:rPr>
        <w:t>;</w:t>
      </w:r>
      <w:r w:rsidRPr="00035295">
        <w:rPr>
          <w:rFonts w:ascii="Times New Roman" w:eastAsia="Times New Roman" w:hAnsi="Times New Roman" w:cs="Times New Roman"/>
          <w:bCs/>
          <w:sz w:val="20"/>
          <w:szCs w:val="20"/>
          <w:lang w:val="es-CL"/>
        </w:rPr>
        <w:t xml:space="preserve"> ciclo de </w:t>
      </w:r>
      <w:r w:rsidR="00437F3B">
        <w:rPr>
          <w:rFonts w:ascii="Times New Roman" w:eastAsia="Times New Roman" w:hAnsi="Times New Roman" w:cs="Times New Roman"/>
          <w:bCs/>
          <w:sz w:val="20"/>
          <w:szCs w:val="20"/>
          <w:lang w:val="es-CL"/>
        </w:rPr>
        <w:t xml:space="preserve">modelización de </w:t>
      </w:r>
      <w:proofErr w:type="spellStart"/>
      <w:r w:rsidRPr="00035295">
        <w:rPr>
          <w:rFonts w:ascii="Times New Roman" w:eastAsia="Times New Roman" w:hAnsi="Times New Roman" w:cs="Times New Roman"/>
          <w:bCs/>
          <w:sz w:val="20"/>
          <w:szCs w:val="20"/>
          <w:lang w:val="es-CL"/>
        </w:rPr>
        <w:t>Blomhøj</w:t>
      </w:r>
      <w:proofErr w:type="spellEnd"/>
      <w:r w:rsidR="003E23A0">
        <w:rPr>
          <w:rFonts w:ascii="Times New Roman" w:eastAsia="Times New Roman" w:hAnsi="Times New Roman" w:cs="Times New Roman"/>
          <w:bCs/>
          <w:sz w:val="20"/>
          <w:szCs w:val="20"/>
          <w:lang w:val="es-CL"/>
        </w:rPr>
        <w:t>;</w:t>
      </w:r>
      <w:r w:rsidR="007F0901">
        <w:rPr>
          <w:rFonts w:ascii="Times New Roman" w:eastAsia="Times New Roman" w:hAnsi="Times New Roman" w:cs="Times New Roman"/>
          <w:bCs/>
          <w:sz w:val="20"/>
          <w:szCs w:val="20"/>
          <w:lang w:val="es-CL"/>
        </w:rPr>
        <w:t xml:space="preserve"> complementariedad ETM-modelización</w:t>
      </w:r>
      <w:r w:rsidR="00437F3B">
        <w:rPr>
          <w:rFonts w:ascii="Times New Roman" w:eastAsia="Times New Roman" w:hAnsi="Times New Roman" w:cs="Times New Roman"/>
          <w:bCs/>
          <w:sz w:val="20"/>
          <w:szCs w:val="20"/>
          <w:lang w:val="es-CL"/>
        </w:rPr>
        <w:t>; tareas de modelización; problemas de investigación genuinos</w:t>
      </w:r>
      <w:r w:rsidR="007F0901">
        <w:rPr>
          <w:rFonts w:ascii="Times New Roman" w:eastAsia="Times New Roman" w:hAnsi="Times New Roman" w:cs="Times New Roman"/>
          <w:bCs/>
          <w:sz w:val="20"/>
          <w:szCs w:val="20"/>
          <w:lang w:val="es-CL"/>
        </w:rPr>
        <w:t>.</w:t>
      </w:r>
    </w:p>
    <w:p w14:paraId="047A6F33" w14:textId="77777777" w:rsidR="0039219B" w:rsidRPr="00035295" w:rsidRDefault="0039219B" w:rsidP="235DF6B6">
      <w:pPr>
        <w:ind w:firstLine="709"/>
        <w:rPr>
          <w:rFonts w:ascii="Times New Roman" w:hAnsi="Times New Roman" w:cs="Times New Roman"/>
          <w:lang w:val="es-CL"/>
        </w:rPr>
      </w:pPr>
    </w:p>
    <w:p w14:paraId="6A792B3A" w14:textId="1927BE88" w:rsidR="0039219B" w:rsidRPr="00890FF7" w:rsidRDefault="235DF6B6" w:rsidP="0039219B">
      <w:pPr>
        <w:ind w:firstLine="709"/>
        <w:rPr>
          <w:rFonts w:ascii="Times New Roman" w:eastAsia="Times New Roman" w:hAnsi="Times New Roman" w:cs="Times New Roman"/>
          <w:b/>
          <w:bCs/>
          <w:lang w:val="en-US"/>
        </w:rPr>
      </w:pPr>
      <w:r w:rsidRPr="003E23A0">
        <w:rPr>
          <w:rFonts w:ascii="Times New Roman" w:eastAsia="Times New Roman" w:hAnsi="Times New Roman" w:cs="Times New Roman"/>
          <w:sz w:val="20"/>
          <w:szCs w:val="20"/>
          <w:lang w:val="es-CL"/>
        </w:rPr>
        <w:t xml:space="preserve"> </w:t>
      </w:r>
      <w:r w:rsidR="0039219B" w:rsidRPr="00890FF7">
        <w:rPr>
          <w:rFonts w:ascii="Times New Roman" w:eastAsia="Times New Roman" w:hAnsi="Times New Roman" w:cs="Times New Roman"/>
          <w:b/>
          <w:bCs/>
          <w:lang w:val="en-US"/>
        </w:rPr>
        <w:t>ABSTRACT</w:t>
      </w:r>
    </w:p>
    <w:p w14:paraId="24C520BA" w14:textId="0DB57E33" w:rsidR="00AA257B" w:rsidRPr="00336785" w:rsidRDefault="00635B47" w:rsidP="00890FF7">
      <w:pPr>
        <w:jc w:val="both"/>
        <w:rPr>
          <w:rFonts w:ascii="Times New Roman" w:hAnsi="Times New Roman" w:cs="Times New Roman"/>
          <w:sz w:val="20"/>
          <w:szCs w:val="20"/>
          <w:lang w:val="en-US"/>
        </w:rPr>
      </w:pPr>
      <w:r w:rsidRPr="00336785">
        <w:rPr>
          <w:rFonts w:ascii="Times New Roman" w:hAnsi="Times New Roman" w:cs="Times New Roman"/>
          <w:b/>
          <w:bCs/>
          <w:sz w:val="20"/>
          <w:szCs w:val="20"/>
          <w:lang w:val="en-US"/>
        </w:rPr>
        <w:t>Background:</w:t>
      </w:r>
      <w:r w:rsidR="00AA257B" w:rsidRPr="00336785">
        <w:rPr>
          <w:rFonts w:ascii="Times New Roman" w:hAnsi="Times New Roman" w:cs="Times New Roman"/>
          <w:sz w:val="20"/>
          <w:szCs w:val="20"/>
          <w:lang w:val="en-US"/>
        </w:rPr>
        <w:t xml:space="preserve"> </w:t>
      </w:r>
      <w:r w:rsidR="00D954BD" w:rsidRPr="00336785">
        <w:rPr>
          <w:rFonts w:ascii="Times New Roman" w:hAnsi="Times New Roman" w:cs="Times New Roman"/>
          <w:sz w:val="20"/>
          <w:szCs w:val="20"/>
          <w:lang w:val="en-US"/>
        </w:rPr>
        <w:t>We studied the resolution of mathematical modeling tasks of genuine</w:t>
      </w:r>
      <w:r w:rsidR="00336785" w:rsidRPr="00336785">
        <w:rPr>
          <w:rFonts w:ascii="Times New Roman" w:hAnsi="Times New Roman" w:cs="Times New Roman"/>
          <w:sz w:val="20"/>
          <w:szCs w:val="20"/>
          <w:lang w:val="en-US"/>
        </w:rPr>
        <w:t xml:space="preserve"> </w:t>
      </w:r>
      <w:r w:rsidR="00D954BD" w:rsidRPr="00336785">
        <w:rPr>
          <w:rFonts w:ascii="Times New Roman" w:hAnsi="Times New Roman" w:cs="Times New Roman"/>
          <w:sz w:val="20"/>
          <w:szCs w:val="20"/>
          <w:lang w:val="en-US"/>
        </w:rPr>
        <w:t>research</w:t>
      </w:r>
      <w:r w:rsidR="00336785" w:rsidRPr="00336785">
        <w:rPr>
          <w:rFonts w:ascii="Times New Roman" w:hAnsi="Times New Roman" w:cs="Times New Roman"/>
          <w:sz w:val="20"/>
          <w:szCs w:val="20"/>
          <w:lang w:val="en-US"/>
        </w:rPr>
        <w:t xml:space="preserve"> </w:t>
      </w:r>
      <w:r w:rsidR="00D954BD" w:rsidRPr="00336785">
        <w:rPr>
          <w:rFonts w:ascii="Times New Roman" w:hAnsi="Times New Roman" w:cs="Times New Roman"/>
          <w:sz w:val="20"/>
          <w:szCs w:val="20"/>
          <w:lang w:val="en-US"/>
        </w:rPr>
        <w:t xml:space="preserve">problems in university education through the complementarity between the </w:t>
      </w:r>
      <w:proofErr w:type="spellStart"/>
      <w:r w:rsidR="00D954BD" w:rsidRPr="00336785">
        <w:rPr>
          <w:rFonts w:ascii="Times New Roman" w:hAnsi="Times New Roman" w:cs="Times New Roman"/>
          <w:sz w:val="20"/>
          <w:szCs w:val="20"/>
          <w:lang w:val="en-US"/>
        </w:rPr>
        <w:t>Blomhøj</w:t>
      </w:r>
      <w:proofErr w:type="spellEnd"/>
      <w:r w:rsidR="00D954BD" w:rsidRPr="00336785">
        <w:rPr>
          <w:rFonts w:ascii="Times New Roman" w:hAnsi="Times New Roman" w:cs="Times New Roman"/>
          <w:sz w:val="20"/>
          <w:szCs w:val="20"/>
          <w:lang w:val="en-US"/>
        </w:rPr>
        <w:t xml:space="preserve"> modeling cycle and the Mathematical Working Spaces (MWS). The first theoretical framework describes and characterizes the stages of the modeling process; the second describes and represents mathematical work considering the epistemological dimension, related to the mathematical field considered, and the cognitive dimension, related to how a subject who solves tasks appropriates knowledge. </w:t>
      </w:r>
      <w:r w:rsidR="00AA257B" w:rsidRPr="00336785">
        <w:rPr>
          <w:rFonts w:ascii="Times New Roman" w:hAnsi="Times New Roman" w:cs="Times New Roman"/>
          <w:b/>
          <w:bCs/>
          <w:sz w:val="20"/>
          <w:szCs w:val="20"/>
          <w:lang w:val="en-US"/>
        </w:rPr>
        <w:t>Objective:</w:t>
      </w:r>
      <w:r w:rsidR="00AA257B" w:rsidRPr="00336785">
        <w:rPr>
          <w:rFonts w:ascii="Times New Roman" w:hAnsi="Times New Roman" w:cs="Times New Roman"/>
          <w:sz w:val="20"/>
          <w:szCs w:val="20"/>
          <w:lang w:val="en-US"/>
        </w:rPr>
        <w:t xml:space="preserve"> </w:t>
      </w:r>
      <w:r w:rsidR="00D954BD" w:rsidRPr="00336785">
        <w:rPr>
          <w:rFonts w:ascii="Times New Roman" w:hAnsi="Times New Roman" w:cs="Times New Roman"/>
          <w:sz w:val="20"/>
          <w:szCs w:val="20"/>
          <w:lang w:val="en-US"/>
        </w:rPr>
        <w:t>We wondered how the complementarity between the two theoretical frameworks mentioned decomposes, theoretically and empirically.</w:t>
      </w:r>
      <w:r w:rsidR="00AA257B" w:rsidRPr="00336785">
        <w:rPr>
          <w:rFonts w:ascii="Times New Roman" w:hAnsi="Times New Roman" w:cs="Times New Roman"/>
          <w:sz w:val="20"/>
          <w:szCs w:val="20"/>
          <w:lang w:val="en-US"/>
        </w:rPr>
        <w:t xml:space="preserve"> </w:t>
      </w:r>
      <w:r w:rsidR="00AA257B" w:rsidRPr="00336785">
        <w:rPr>
          <w:rFonts w:ascii="Times New Roman" w:hAnsi="Times New Roman" w:cs="Times New Roman"/>
          <w:b/>
          <w:bCs/>
          <w:sz w:val="20"/>
          <w:szCs w:val="20"/>
          <w:lang w:val="en-US"/>
        </w:rPr>
        <w:t>Design:</w:t>
      </w:r>
      <w:r w:rsidR="00AA257B" w:rsidRPr="00336785">
        <w:rPr>
          <w:rFonts w:ascii="Times New Roman" w:hAnsi="Times New Roman" w:cs="Times New Roman"/>
          <w:sz w:val="20"/>
          <w:szCs w:val="20"/>
          <w:lang w:val="en-US"/>
        </w:rPr>
        <w:t xml:space="preserve"> We present</w:t>
      </w:r>
      <w:r w:rsidR="00D954BD" w:rsidRPr="00336785">
        <w:rPr>
          <w:rFonts w:ascii="Times New Roman" w:hAnsi="Times New Roman" w:cs="Times New Roman"/>
          <w:sz w:val="20"/>
          <w:szCs w:val="20"/>
          <w:lang w:val="en-US"/>
        </w:rPr>
        <w:t>ed</w:t>
      </w:r>
      <w:r w:rsidR="00AA257B" w:rsidRPr="00336785">
        <w:rPr>
          <w:rFonts w:ascii="Times New Roman" w:hAnsi="Times New Roman" w:cs="Times New Roman"/>
          <w:sz w:val="20"/>
          <w:szCs w:val="20"/>
          <w:lang w:val="en-US"/>
        </w:rPr>
        <w:t xml:space="preserve"> qualitative research based on a case study to characterize the resolution of a modeling task of a genuine research problem through the connection between the Blomhøj cycle and the MWS. </w:t>
      </w:r>
      <w:r w:rsidR="00AA257B" w:rsidRPr="00336785">
        <w:rPr>
          <w:rFonts w:ascii="Times New Roman" w:hAnsi="Times New Roman" w:cs="Times New Roman"/>
          <w:b/>
          <w:bCs/>
          <w:sz w:val="20"/>
          <w:szCs w:val="20"/>
          <w:lang w:val="en-US"/>
        </w:rPr>
        <w:t>Setting and participants:</w:t>
      </w:r>
      <w:r w:rsidR="00AA257B" w:rsidRPr="00336785">
        <w:rPr>
          <w:rFonts w:ascii="Times New Roman" w:hAnsi="Times New Roman" w:cs="Times New Roman"/>
          <w:sz w:val="20"/>
          <w:szCs w:val="20"/>
          <w:lang w:val="en-US"/>
        </w:rPr>
        <w:t xml:space="preserve"> The experiment requested written and individual production from second-year calculus students of the civil engineering career at a public university in Chile. </w:t>
      </w:r>
      <w:r w:rsidR="00AA257B" w:rsidRPr="00336785">
        <w:rPr>
          <w:rFonts w:ascii="Times New Roman" w:hAnsi="Times New Roman" w:cs="Times New Roman"/>
          <w:b/>
          <w:bCs/>
          <w:sz w:val="20"/>
          <w:szCs w:val="20"/>
          <w:lang w:val="en-US"/>
        </w:rPr>
        <w:t xml:space="preserve">Data collection and analysis: </w:t>
      </w:r>
      <w:r w:rsidR="00D954BD" w:rsidRPr="00336785">
        <w:rPr>
          <w:rFonts w:ascii="Times New Roman" w:hAnsi="Times New Roman" w:cs="Times New Roman"/>
          <w:sz w:val="20"/>
          <w:szCs w:val="20"/>
          <w:lang w:val="en-US"/>
        </w:rPr>
        <w:t>We carried out a case study by selecting a subject named Juan, whose written production is representative of the rest of the students. In addition, we considered three stages of investigation of Juan’s written production: description, analysis, and interpretation</w:t>
      </w:r>
      <w:r w:rsidR="00AA257B" w:rsidRPr="00336785">
        <w:rPr>
          <w:rFonts w:ascii="Times New Roman" w:hAnsi="Times New Roman" w:cs="Times New Roman"/>
          <w:sz w:val="20"/>
          <w:szCs w:val="20"/>
          <w:lang w:val="en-US"/>
        </w:rPr>
        <w:t>.</w:t>
      </w:r>
      <w:r w:rsidR="007359C7" w:rsidRPr="00336785">
        <w:rPr>
          <w:rFonts w:ascii="Times New Roman" w:hAnsi="Times New Roman" w:cs="Times New Roman"/>
          <w:sz w:val="20"/>
          <w:szCs w:val="20"/>
          <w:lang w:val="en-US"/>
        </w:rPr>
        <w:t xml:space="preserve"> </w:t>
      </w:r>
      <w:r w:rsidR="00AA257B" w:rsidRPr="00336785">
        <w:rPr>
          <w:rFonts w:ascii="Times New Roman" w:hAnsi="Times New Roman" w:cs="Times New Roman"/>
          <w:b/>
          <w:bCs/>
          <w:sz w:val="20"/>
          <w:szCs w:val="20"/>
          <w:lang w:val="en-US"/>
        </w:rPr>
        <w:t>Results:</w:t>
      </w:r>
      <w:r w:rsidR="00AA257B" w:rsidRPr="00336785">
        <w:rPr>
          <w:rFonts w:ascii="Times New Roman" w:hAnsi="Times New Roman" w:cs="Times New Roman"/>
          <w:sz w:val="20"/>
          <w:szCs w:val="20"/>
          <w:lang w:val="en-US"/>
        </w:rPr>
        <w:t xml:space="preserve"> The results suggest that the Blomhøj cycle would present connections with the MWS from the </w:t>
      </w:r>
      <w:r w:rsidR="00D954BD" w:rsidRPr="00336785">
        <w:rPr>
          <w:rFonts w:ascii="Times New Roman" w:hAnsi="Times New Roman" w:cs="Times New Roman"/>
          <w:sz w:val="20"/>
          <w:szCs w:val="20"/>
          <w:lang w:val="en-US"/>
        </w:rPr>
        <w:t>p</w:t>
      </w:r>
      <w:r w:rsidR="00AA257B" w:rsidRPr="00336785">
        <w:rPr>
          <w:rFonts w:ascii="Times New Roman" w:hAnsi="Times New Roman" w:cs="Times New Roman"/>
          <w:sz w:val="20"/>
          <w:szCs w:val="20"/>
          <w:lang w:val="en-US"/>
        </w:rPr>
        <w:t>roblem</w:t>
      </w:r>
      <w:r w:rsidR="00D954BD" w:rsidRPr="00336785">
        <w:rPr>
          <w:rFonts w:ascii="Times New Roman" w:hAnsi="Times New Roman" w:cs="Times New Roman"/>
          <w:sz w:val="20"/>
          <w:szCs w:val="20"/>
          <w:lang w:val="en-US"/>
        </w:rPr>
        <w:t xml:space="preserve"> formulation</w:t>
      </w:r>
      <w:r w:rsidR="00AA257B" w:rsidRPr="00336785">
        <w:rPr>
          <w:rFonts w:ascii="Times New Roman" w:hAnsi="Times New Roman" w:cs="Times New Roman"/>
          <w:sz w:val="20"/>
          <w:szCs w:val="20"/>
          <w:lang w:val="en-US"/>
        </w:rPr>
        <w:t xml:space="preserve"> </w:t>
      </w:r>
      <w:r w:rsidR="00D954BD" w:rsidRPr="00336785">
        <w:rPr>
          <w:rFonts w:ascii="Times New Roman" w:hAnsi="Times New Roman" w:cs="Times New Roman"/>
          <w:sz w:val="20"/>
          <w:szCs w:val="20"/>
          <w:lang w:val="en-US"/>
        </w:rPr>
        <w:t>and not only from the systematization, which is a novelty in this field of research</w:t>
      </w:r>
      <w:r w:rsidR="00AA257B" w:rsidRPr="00336785">
        <w:rPr>
          <w:rFonts w:ascii="Times New Roman" w:hAnsi="Times New Roman" w:cs="Times New Roman"/>
          <w:sz w:val="20"/>
          <w:szCs w:val="20"/>
          <w:lang w:val="en-US"/>
        </w:rPr>
        <w:t xml:space="preserve">. </w:t>
      </w:r>
      <w:r w:rsidR="00AA257B" w:rsidRPr="00336785">
        <w:rPr>
          <w:rFonts w:ascii="Times New Roman" w:hAnsi="Times New Roman" w:cs="Times New Roman"/>
          <w:b/>
          <w:bCs/>
          <w:sz w:val="20"/>
          <w:szCs w:val="20"/>
          <w:lang w:val="en-US"/>
        </w:rPr>
        <w:t>Conclusions:</w:t>
      </w:r>
      <w:r w:rsidR="00AA257B" w:rsidRPr="00336785">
        <w:rPr>
          <w:rFonts w:ascii="Times New Roman" w:hAnsi="Times New Roman" w:cs="Times New Roman"/>
          <w:sz w:val="20"/>
          <w:szCs w:val="20"/>
          <w:lang w:val="en-US"/>
        </w:rPr>
        <w:t xml:space="preserve"> </w:t>
      </w:r>
      <w:r w:rsidR="00724079" w:rsidRPr="00336785">
        <w:rPr>
          <w:rFonts w:ascii="Times New Roman" w:hAnsi="Times New Roman" w:cs="Times New Roman"/>
          <w:sz w:val="20"/>
          <w:szCs w:val="20"/>
          <w:lang w:val="en-US"/>
        </w:rPr>
        <w:t xml:space="preserve">We </w:t>
      </w:r>
      <w:r w:rsidR="00D954BD" w:rsidRPr="00336785">
        <w:rPr>
          <w:rFonts w:ascii="Times New Roman" w:hAnsi="Times New Roman" w:cs="Times New Roman"/>
          <w:sz w:val="20"/>
          <w:szCs w:val="20"/>
          <w:lang w:val="en-US"/>
        </w:rPr>
        <w:t xml:space="preserve">gave </w:t>
      </w:r>
      <w:r w:rsidR="00724079" w:rsidRPr="00336785">
        <w:rPr>
          <w:rFonts w:ascii="Times New Roman" w:hAnsi="Times New Roman" w:cs="Times New Roman"/>
          <w:sz w:val="20"/>
          <w:szCs w:val="20"/>
          <w:lang w:val="en-US"/>
        </w:rPr>
        <w:t xml:space="preserve">and opened the discussion </w:t>
      </w:r>
      <w:r w:rsidR="00AA257B" w:rsidRPr="00336785">
        <w:rPr>
          <w:rFonts w:ascii="Times New Roman" w:hAnsi="Times New Roman" w:cs="Times New Roman"/>
          <w:sz w:val="20"/>
          <w:szCs w:val="20"/>
          <w:lang w:val="en-US"/>
        </w:rPr>
        <w:t>to continue developing the ETM-modeling complementation, emphasizing genuine research problems in higher education.</w:t>
      </w:r>
    </w:p>
    <w:p w14:paraId="0F7AF70D" w14:textId="77777777" w:rsidR="006A705A" w:rsidRPr="00890FF7" w:rsidRDefault="006A705A" w:rsidP="0039219B">
      <w:pPr>
        <w:ind w:firstLine="709"/>
        <w:jc w:val="both"/>
        <w:rPr>
          <w:rStyle w:val="normaltextrun"/>
          <w:rFonts w:ascii="Times New Roman" w:hAnsi="Times New Roman" w:cs="Times New Roman"/>
          <w:b/>
          <w:bCs/>
          <w:sz w:val="20"/>
          <w:szCs w:val="20"/>
          <w:lang w:val="en-US"/>
        </w:rPr>
      </w:pPr>
    </w:p>
    <w:p w14:paraId="4C3D4951" w14:textId="6B8FD1C1" w:rsidR="0039219B" w:rsidRPr="00890FF7" w:rsidRDefault="0039219B" w:rsidP="0039219B">
      <w:pPr>
        <w:ind w:firstLine="709"/>
        <w:jc w:val="both"/>
        <w:rPr>
          <w:rFonts w:ascii="Times New Roman" w:hAnsi="Times New Roman" w:cs="Times New Roman"/>
          <w:lang w:val="en-US"/>
        </w:rPr>
      </w:pPr>
      <w:r w:rsidRPr="00890FF7">
        <w:rPr>
          <w:rFonts w:ascii="Times New Roman" w:eastAsia="Times New Roman" w:hAnsi="Times New Roman" w:cs="Times New Roman"/>
          <w:b/>
          <w:bCs/>
          <w:sz w:val="20"/>
          <w:szCs w:val="20"/>
          <w:lang w:val="en-US"/>
        </w:rPr>
        <w:t>Keywords</w:t>
      </w:r>
      <w:r w:rsidRPr="00890FF7">
        <w:rPr>
          <w:rFonts w:ascii="Times New Roman" w:eastAsia="Times New Roman" w:hAnsi="Times New Roman" w:cs="Times New Roman"/>
          <w:sz w:val="20"/>
          <w:szCs w:val="20"/>
          <w:lang w:val="en-US"/>
        </w:rPr>
        <w:t xml:space="preserve">: </w:t>
      </w:r>
      <w:r w:rsidR="00E27142" w:rsidRPr="00890FF7">
        <w:rPr>
          <w:rFonts w:ascii="Times New Roman" w:eastAsia="Times New Roman" w:hAnsi="Times New Roman" w:cs="Times New Roman"/>
          <w:sz w:val="20"/>
          <w:szCs w:val="20"/>
          <w:lang w:val="en-US"/>
        </w:rPr>
        <w:t>Mathematical Working Spaces (MWS)</w:t>
      </w:r>
      <w:r w:rsidR="003E23A0">
        <w:rPr>
          <w:rFonts w:ascii="Times New Roman" w:eastAsia="Times New Roman" w:hAnsi="Times New Roman" w:cs="Times New Roman"/>
          <w:sz w:val="20"/>
          <w:szCs w:val="20"/>
          <w:lang w:val="en-US"/>
        </w:rPr>
        <w:t>;</w:t>
      </w:r>
      <w:r w:rsidR="00E27142" w:rsidRPr="00890FF7">
        <w:rPr>
          <w:rFonts w:ascii="Times New Roman" w:eastAsia="Times New Roman" w:hAnsi="Times New Roman" w:cs="Times New Roman"/>
          <w:sz w:val="20"/>
          <w:szCs w:val="20"/>
          <w:lang w:val="en-US"/>
        </w:rPr>
        <w:t xml:space="preserve"> </w:t>
      </w:r>
      <w:proofErr w:type="spellStart"/>
      <w:r w:rsidR="00E27142" w:rsidRPr="00890FF7">
        <w:rPr>
          <w:rFonts w:ascii="Times New Roman" w:eastAsia="Times New Roman" w:hAnsi="Times New Roman" w:cs="Times New Roman"/>
          <w:sz w:val="20"/>
          <w:szCs w:val="20"/>
          <w:lang w:val="en-US"/>
        </w:rPr>
        <w:t>Blomh</w:t>
      </w:r>
      <w:r w:rsidR="00E27142" w:rsidRPr="00890FF7">
        <w:rPr>
          <w:rFonts w:ascii="Times New Roman" w:eastAsia="Times New Roman" w:hAnsi="Times New Roman" w:cs="Times New Roman"/>
          <w:bCs/>
          <w:sz w:val="20"/>
          <w:szCs w:val="20"/>
          <w:lang w:val="en-US"/>
        </w:rPr>
        <w:t>ø</w:t>
      </w:r>
      <w:r w:rsidR="00E27142" w:rsidRPr="00890FF7">
        <w:rPr>
          <w:rFonts w:ascii="Times New Roman" w:eastAsia="Times New Roman" w:hAnsi="Times New Roman" w:cs="Times New Roman"/>
          <w:sz w:val="20"/>
          <w:szCs w:val="20"/>
          <w:lang w:val="en-US"/>
        </w:rPr>
        <w:t>j</w:t>
      </w:r>
      <w:proofErr w:type="spellEnd"/>
      <w:r w:rsidR="00437F3B">
        <w:rPr>
          <w:rFonts w:ascii="Times New Roman" w:eastAsia="Times New Roman" w:hAnsi="Times New Roman" w:cs="Times New Roman"/>
          <w:sz w:val="20"/>
          <w:szCs w:val="20"/>
          <w:lang w:val="en-US"/>
        </w:rPr>
        <w:t xml:space="preserve"> modeling</w:t>
      </w:r>
      <w:r w:rsidR="00E27142" w:rsidRPr="00890FF7">
        <w:rPr>
          <w:rFonts w:ascii="Times New Roman" w:eastAsia="Times New Roman" w:hAnsi="Times New Roman" w:cs="Times New Roman"/>
          <w:sz w:val="20"/>
          <w:szCs w:val="20"/>
          <w:lang w:val="en-US"/>
        </w:rPr>
        <w:t xml:space="preserve"> cycle</w:t>
      </w:r>
      <w:r w:rsidR="003E23A0">
        <w:rPr>
          <w:rFonts w:ascii="Times New Roman" w:eastAsia="Times New Roman" w:hAnsi="Times New Roman" w:cs="Times New Roman"/>
          <w:sz w:val="20"/>
          <w:szCs w:val="20"/>
          <w:lang w:val="en-US"/>
        </w:rPr>
        <w:t>;</w:t>
      </w:r>
      <w:r w:rsidR="00E27142" w:rsidRPr="00890FF7">
        <w:rPr>
          <w:rFonts w:ascii="Times New Roman" w:eastAsia="Times New Roman" w:hAnsi="Times New Roman" w:cs="Times New Roman"/>
          <w:sz w:val="20"/>
          <w:szCs w:val="20"/>
          <w:lang w:val="en-US"/>
        </w:rPr>
        <w:t xml:space="preserve"> MWS-modeling complementarity</w:t>
      </w:r>
      <w:r w:rsidR="00437F3B">
        <w:rPr>
          <w:rFonts w:ascii="Times New Roman" w:eastAsia="Times New Roman" w:hAnsi="Times New Roman" w:cs="Times New Roman"/>
          <w:sz w:val="20"/>
          <w:szCs w:val="20"/>
          <w:lang w:val="en-US"/>
        </w:rPr>
        <w:t xml:space="preserve">; modeling tasks; </w:t>
      </w:r>
      <w:r w:rsidR="00FB3F98">
        <w:rPr>
          <w:rFonts w:ascii="Times New Roman" w:eastAsia="Times New Roman" w:hAnsi="Times New Roman" w:cs="Times New Roman"/>
          <w:sz w:val="20"/>
          <w:szCs w:val="20"/>
          <w:lang w:val="en-US"/>
        </w:rPr>
        <w:t>genuine</w:t>
      </w:r>
      <w:r w:rsidR="00437F3B">
        <w:rPr>
          <w:rFonts w:ascii="Times New Roman" w:eastAsia="Times New Roman" w:hAnsi="Times New Roman" w:cs="Times New Roman"/>
          <w:sz w:val="20"/>
          <w:szCs w:val="20"/>
          <w:lang w:val="en-US"/>
        </w:rPr>
        <w:t xml:space="preserve"> research problems</w:t>
      </w:r>
      <w:r w:rsidR="00E27142" w:rsidRPr="00890FF7">
        <w:rPr>
          <w:rFonts w:ascii="Times New Roman" w:eastAsia="Times New Roman" w:hAnsi="Times New Roman" w:cs="Times New Roman"/>
          <w:sz w:val="20"/>
          <w:szCs w:val="20"/>
          <w:lang w:val="en-US"/>
        </w:rPr>
        <w:t>.</w:t>
      </w:r>
    </w:p>
    <w:p w14:paraId="73821660" w14:textId="434A9FBE" w:rsidR="235DF6B6" w:rsidRPr="00890FF7" w:rsidRDefault="235DF6B6" w:rsidP="235DF6B6">
      <w:pPr>
        <w:ind w:firstLine="709"/>
        <w:rPr>
          <w:rFonts w:ascii="Times New Roman" w:hAnsi="Times New Roman" w:cs="Times New Roman"/>
          <w:lang w:val="en-US"/>
        </w:rPr>
      </w:pPr>
    </w:p>
    <w:p w14:paraId="1D846DF5" w14:textId="16F0B1DC" w:rsidR="235DF6B6" w:rsidRPr="00323EDB" w:rsidRDefault="235DF6B6" w:rsidP="00C72106">
      <w:pPr>
        <w:spacing w:after="120"/>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INTRODUCTION</w:t>
      </w:r>
    </w:p>
    <w:p w14:paraId="7140674B" w14:textId="5CF94987" w:rsidR="006A3451" w:rsidRPr="00323EDB" w:rsidRDefault="006A3451" w:rsidP="006A3451">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trabajo investigativo sobre modelización matemática tiene más de 40 años de desarrollo en distintas latitudes del mundo. En la actualidad, múltiples comunidades e investigaciones científicas han posicionado el modelizar en los currículos del mundo (Kaiser, 2020). Esto no necesariamente significa que exista un consenso global sobre lo que entendemos por modelizar, existiendo múltiples aproximaciones, tanto a nivel latinoamericano (Arrieta y Díaz, 2015) como europeo (</w:t>
      </w:r>
      <w:proofErr w:type="spellStart"/>
      <w:r w:rsidRPr="00323EDB">
        <w:rPr>
          <w:rFonts w:ascii="Times New Roman" w:eastAsia="Times New Roman" w:hAnsi="Times New Roman" w:cs="Times New Roman"/>
          <w:sz w:val="22"/>
          <w:szCs w:val="22"/>
          <w:lang w:val="es-CL"/>
        </w:rPr>
        <w:t>Doerr</w:t>
      </w:r>
      <w:proofErr w:type="spellEnd"/>
      <w:r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2017), promovidas por una amplia diversidad de propósitos educativos y una variedad de fuentes tanto para la construcción del conocimiento matemático, como para la tipología de tareas de modelización (Kaiser y </w:t>
      </w:r>
      <w:proofErr w:type="spellStart"/>
      <w:r w:rsidRPr="00323EDB">
        <w:rPr>
          <w:rFonts w:ascii="Times New Roman" w:eastAsia="Times New Roman" w:hAnsi="Times New Roman" w:cs="Times New Roman"/>
          <w:sz w:val="22"/>
          <w:szCs w:val="22"/>
          <w:lang w:val="es-CL"/>
        </w:rPr>
        <w:t>Sriraman</w:t>
      </w:r>
      <w:proofErr w:type="spellEnd"/>
      <w:r w:rsidRPr="00323EDB">
        <w:rPr>
          <w:rFonts w:ascii="Times New Roman" w:eastAsia="Times New Roman" w:hAnsi="Times New Roman" w:cs="Times New Roman"/>
          <w:sz w:val="22"/>
          <w:szCs w:val="22"/>
          <w:lang w:val="es-CL"/>
        </w:rPr>
        <w:t>, 2006). Sin embargo, existe una concepción genérica de tales aproximaciones, del hecho que la actividad de modelización cruza los límites entre la realidad y las matemáticas, cuando son reconocidos como conocimientos (Blomhøj y Jensen, 2003).</w:t>
      </w:r>
    </w:p>
    <w:p w14:paraId="2C76AA17" w14:textId="40EB40F8" w:rsidR="005C272F" w:rsidRPr="00323EDB" w:rsidRDefault="006A3451" w:rsidP="005C272F">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Para el </w:t>
      </w:r>
      <w:r w:rsidR="004E0715">
        <w:rPr>
          <w:rFonts w:ascii="Times New Roman" w:eastAsia="Times New Roman" w:hAnsi="Times New Roman" w:cs="Times New Roman"/>
          <w:sz w:val="22"/>
          <w:szCs w:val="22"/>
          <w:lang w:val="es-CL"/>
        </w:rPr>
        <w:t>modelo</w:t>
      </w:r>
      <w:r w:rsidRPr="00323EDB">
        <w:rPr>
          <w:rFonts w:ascii="Times New Roman" w:eastAsia="Times New Roman" w:hAnsi="Times New Roman" w:cs="Times New Roman"/>
          <w:sz w:val="22"/>
          <w:szCs w:val="22"/>
          <w:lang w:val="es-CL"/>
        </w:rPr>
        <w:t xml:space="preserve"> de los Espacios de Trabajo Matemático (ETM) (Kuzniak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2016), existe un interés en comprender cómo la realidad incide en el desarrollo de una tarea matemática (Lagrange, 2018), o bien sobre tipos de tareas matemáticas situadas en la realidad, con el fin de favorecer aproximaciones didácticas para la enseñanza y aprendizaje. Este tópico ha sido considerado en los últimos simposios internacionales sobre el Trabajo Matemático (Nechache, 2018; Guerrero-Ortiz y Henríquez-Rivas, 2018), generando complementariedad entre </w:t>
      </w:r>
      <w:r w:rsidR="004E0715">
        <w:rPr>
          <w:rFonts w:ascii="Times New Roman" w:eastAsia="Times New Roman" w:hAnsi="Times New Roman" w:cs="Times New Roman"/>
          <w:sz w:val="22"/>
          <w:szCs w:val="22"/>
          <w:lang w:val="es-CL"/>
        </w:rPr>
        <w:t xml:space="preserve">la </w:t>
      </w:r>
      <w:r w:rsidR="004E0715" w:rsidRPr="00323EDB">
        <w:rPr>
          <w:rFonts w:ascii="Times New Roman" w:eastAsia="Times New Roman" w:hAnsi="Times New Roman" w:cs="Times New Roman"/>
          <w:sz w:val="22"/>
          <w:szCs w:val="22"/>
          <w:lang w:val="es-CL"/>
        </w:rPr>
        <w:t>modelización</w:t>
      </w:r>
      <w:r w:rsidRPr="00323EDB">
        <w:rPr>
          <w:rFonts w:ascii="Times New Roman" w:eastAsia="Times New Roman" w:hAnsi="Times New Roman" w:cs="Times New Roman"/>
          <w:sz w:val="22"/>
          <w:szCs w:val="22"/>
          <w:lang w:val="es-CL"/>
        </w:rPr>
        <w:t xml:space="preserve"> y ETM, promoviendo el diseño de tareas de modelización basadas en contextos genuinamente reales. En particular, los estudios de complementariedad entre ambos marcos han </w:t>
      </w:r>
      <w:r w:rsidR="00825822">
        <w:rPr>
          <w:rFonts w:ascii="Times New Roman" w:eastAsia="Times New Roman" w:hAnsi="Times New Roman" w:cs="Times New Roman"/>
          <w:sz w:val="22"/>
          <w:szCs w:val="22"/>
          <w:lang w:val="es-CL"/>
        </w:rPr>
        <w:t>enfatizado</w:t>
      </w:r>
      <w:r w:rsidRPr="00323EDB">
        <w:rPr>
          <w:rFonts w:ascii="Times New Roman" w:eastAsia="Times New Roman" w:hAnsi="Times New Roman" w:cs="Times New Roman"/>
          <w:sz w:val="22"/>
          <w:szCs w:val="22"/>
          <w:lang w:val="es-CL"/>
        </w:rPr>
        <w:t xml:space="preserve"> el ciclo de Blum-Borromeo (Borromeo-Ferri, 2006), obteniendo buenos resultados en relacionar las etapas de modelización con las circulaciones en el ETM</w:t>
      </w:r>
      <w:r w:rsidR="005C272F" w:rsidRPr="00323EDB">
        <w:rPr>
          <w:rFonts w:ascii="Times New Roman" w:eastAsia="Times New Roman" w:hAnsi="Times New Roman" w:cs="Times New Roman"/>
          <w:sz w:val="22"/>
          <w:szCs w:val="22"/>
          <w:lang w:val="es-CL"/>
        </w:rPr>
        <w:t xml:space="preserve"> (</w:t>
      </w:r>
      <w:proofErr w:type="spellStart"/>
      <w:r w:rsidR="005C272F" w:rsidRPr="00323EDB">
        <w:rPr>
          <w:rFonts w:ascii="Times New Roman" w:eastAsia="Times New Roman" w:hAnsi="Times New Roman" w:cs="Times New Roman"/>
          <w:sz w:val="22"/>
          <w:szCs w:val="22"/>
          <w:lang w:val="es-CL"/>
        </w:rPr>
        <w:t>Cosmes</w:t>
      </w:r>
      <w:proofErr w:type="spellEnd"/>
      <w:r w:rsidR="005C272F" w:rsidRPr="00323EDB">
        <w:rPr>
          <w:rFonts w:ascii="Times New Roman" w:eastAsia="Times New Roman" w:hAnsi="Times New Roman" w:cs="Times New Roman"/>
          <w:sz w:val="22"/>
          <w:szCs w:val="22"/>
          <w:lang w:val="es-CL"/>
        </w:rPr>
        <w:t xml:space="preserve"> y Montoya-Delgadillo, 2021).</w:t>
      </w:r>
    </w:p>
    <w:p w14:paraId="6A646FEF" w14:textId="1241E118" w:rsidR="006A3451" w:rsidRPr="00890FF7" w:rsidRDefault="006A3451" w:rsidP="00890FF7">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presente estudio propone ampliar la investigación sobre la relación existente entre el ETM y otros </w:t>
      </w:r>
      <w:r w:rsidR="004E0715">
        <w:rPr>
          <w:rFonts w:ascii="Times New Roman" w:eastAsia="Times New Roman" w:hAnsi="Times New Roman" w:cs="Times New Roman"/>
          <w:sz w:val="22"/>
          <w:szCs w:val="22"/>
          <w:lang w:val="es-CL"/>
        </w:rPr>
        <w:t>modelos</w:t>
      </w:r>
      <w:r w:rsidRPr="00323EDB">
        <w:rPr>
          <w:rFonts w:ascii="Times New Roman" w:eastAsia="Times New Roman" w:hAnsi="Times New Roman" w:cs="Times New Roman"/>
          <w:sz w:val="22"/>
          <w:szCs w:val="22"/>
          <w:lang w:val="es-CL"/>
        </w:rPr>
        <w:t xml:space="preserve"> afines de modelización matemática, </w:t>
      </w:r>
      <w:r w:rsidR="006C36EB" w:rsidRPr="00323EDB">
        <w:rPr>
          <w:rFonts w:ascii="Times New Roman" w:eastAsia="Times New Roman" w:hAnsi="Times New Roman" w:cs="Times New Roman"/>
          <w:sz w:val="22"/>
          <w:szCs w:val="22"/>
          <w:lang w:val="es-CL"/>
        </w:rPr>
        <w:t xml:space="preserve">en este caso, con </w:t>
      </w:r>
      <w:r w:rsidRPr="00323EDB">
        <w:rPr>
          <w:rFonts w:ascii="Times New Roman" w:eastAsia="Times New Roman" w:hAnsi="Times New Roman" w:cs="Times New Roman"/>
          <w:sz w:val="22"/>
          <w:szCs w:val="22"/>
          <w:lang w:val="es-CL"/>
        </w:rPr>
        <w:t>el ciclo de Blomhøj</w:t>
      </w:r>
      <w:r w:rsidR="00345E13">
        <w:rPr>
          <w:rFonts w:ascii="Times New Roman" w:eastAsia="Times New Roman" w:hAnsi="Times New Roman" w:cs="Times New Roman"/>
          <w:sz w:val="22"/>
          <w:szCs w:val="22"/>
          <w:lang w:val="es-CL"/>
        </w:rPr>
        <w:t>. E</w:t>
      </w:r>
      <w:r w:rsidRPr="00323EDB">
        <w:rPr>
          <w:rFonts w:ascii="Times New Roman" w:eastAsia="Times New Roman" w:hAnsi="Times New Roman" w:cs="Times New Roman"/>
          <w:sz w:val="22"/>
          <w:szCs w:val="22"/>
          <w:lang w:val="es-CL"/>
        </w:rPr>
        <w:t xml:space="preserve">l </w:t>
      </w:r>
      <w:r w:rsidR="00D82B81">
        <w:rPr>
          <w:rFonts w:ascii="Times New Roman" w:eastAsia="Times New Roman" w:hAnsi="Times New Roman" w:cs="Times New Roman"/>
          <w:sz w:val="22"/>
          <w:szCs w:val="22"/>
          <w:lang w:val="es-CL"/>
        </w:rPr>
        <w:t xml:space="preserve">objetivo </w:t>
      </w:r>
      <w:r w:rsidR="00345E13">
        <w:rPr>
          <w:rFonts w:ascii="Times New Roman" w:eastAsia="Times New Roman" w:hAnsi="Times New Roman" w:cs="Times New Roman"/>
          <w:sz w:val="22"/>
          <w:szCs w:val="22"/>
          <w:lang w:val="es-CL"/>
        </w:rPr>
        <w:t>es</w:t>
      </w:r>
      <w:r w:rsidRPr="00323EDB">
        <w:rPr>
          <w:rFonts w:ascii="Times New Roman" w:eastAsia="Times New Roman" w:hAnsi="Times New Roman" w:cs="Times New Roman"/>
          <w:sz w:val="22"/>
          <w:szCs w:val="22"/>
          <w:lang w:val="es-CL"/>
        </w:rPr>
        <w:t xml:space="preserve"> reconocer articulaciones que muestren </w:t>
      </w:r>
      <w:r w:rsidR="00825822">
        <w:rPr>
          <w:rFonts w:ascii="Times New Roman" w:eastAsia="Times New Roman" w:hAnsi="Times New Roman" w:cs="Times New Roman"/>
          <w:sz w:val="22"/>
          <w:szCs w:val="22"/>
          <w:lang w:val="es-CL"/>
        </w:rPr>
        <w:t xml:space="preserve">una </w:t>
      </w:r>
      <w:r w:rsidR="00D82B81">
        <w:rPr>
          <w:rFonts w:ascii="Times New Roman" w:eastAsia="Times New Roman" w:hAnsi="Times New Roman" w:cs="Times New Roman"/>
          <w:sz w:val="22"/>
          <w:szCs w:val="22"/>
          <w:lang w:val="es-CL"/>
        </w:rPr>
        <w:t>mayor</w:t>
      </w:r>
      <w:r w:rsidR="00825822">
        <w:rPr>
          <w:rFonts w:ascii="Times New Roman" w:eastAsia="Times New Roman" w:hAnsi="Times New Roman" w:cs="Times New Roman"/>
          <w:sz w:val="22"/>
          <w:szCs w:val="22"/>
          <w:lang w:val="es-CL"/>
        </w:rPr>
        <w:t xml:space="preserve"> complementariedad</w:t>
      </w:r>
      <w:r w:rsidR="00345E13">
        <w:rPr>
          <w:rFonts w:ascii="Times New Roman" w:eastAsia="Times New Roman" w:hAnsi="Times New Roman" w:cs="Times New Roman"/>
          <w:sz w:val="22"/>
          <w:szCs w:val="22"/>
          <w:lang w:val="es-CL"/>
        </w:rPr>
        <w:t xml:space="preserve"> </w:t>
      </w:r>
      <w:r w:rsidR="00825822">
        <w:rPr>
          <w:rFonts w:ascii="Times New Roman" w:eastAsia="Times New Roman" w:hAnsi="Times New Roman" w:cs="Times New Roman"/>
          <w:sz w:val="22"/>
          <w:szCs w:val="22"/>
          <w:lang w:val="es-CL"/>
        </w:rPr>
        <w:t xml:space="preserve">entre las etapas de modelización </w:t>
      </w:r>
      <w:r w:rsidR="00345E13">
        <w:rPr>
          <w:rFonts w:ascii="Times New Roman" w:eastAsia="Times New Roman" w:hAnsi="Times New Roman" w:cs="Times New Roman"/>
          <w:sz w:val="22"/>
          <w:szCs w:val="22"/>
          <w:lang w:val="es-CL"/>
        </w:rPr>
        <w:t>con</w:t>
      </w:r>
      <w:r w:rsidRPr="00323EDB">
        <w:rPr>
          <w:rFonts w:ascii="Times New Roman" w:eastAsia="Times New Roman" w:hAnsi="Times New Roman" w:cs="Times New Roman"/>
          <w:sz w:val="22"/>
          <w:szCs w:val="22"/>
          <w:lang w:val="es-CL"/>
        </w:rPr>
        <w:t xml:space="preserve"> las circulaciones, no sólo desde la dimensión cognitiva, sino también epistemológica del ETM. Para ello, vamos a</w:t>
      </w:r>
      <w:r w:rsidR="00E216D5">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 xml:space="preserve">describir los distintos alcances de </w:t>
      </w:r>
      <w:r w:rsidR="00E216D5">
        <w:rPr>
          <w:rFonts w:ascii="Times New Roman" w:eastAsia="Times New Roman" w:hAnsi="Times New Roman" w:cs="Times New Roman"/>
          <w:sz w:val="22"/>
          <w:szCs w:val="22"/>
          <w:lang w:val="es-CL"/>
        </w:rPr>
        <w:t>esta</w:t>
      </w:r>
      <w:r w:rsidRPr="00323EDB">
        <w:rPr>
          <w:rFonts w:ascii="Times New Roman" w:eastAsia="Times New Roman" w:hAnsi="Times New Roman" w:cs="Times New Roman"/>
          <w:sz w:val="22"/>
          <w:szCs w:val="22"/>
          <w:lang w:val="es-CL"/>
        </w:rPr>
        <w:t xml:space="preserve"> complementa</w:t>
      </w:r>
      <w:r w:rsidR="00E216D5">
        <w:rPr>
          <w:rFonts w:ascii="Times New Roman" w:eastAsia="Times New Roman" w:hAnsi="Times New Roman" w:cs="Times New Roman"/>
          <w:sz w:val="22"/>
          <w:szCs w:val="22"/>
          <w:lang w:val="es-CL"/>
        </w:rPr>
        <w:t>riedad</w:t>
      </w:r>
      <w:r w:rsidR="0067208E">
        <w:rPr>
          <w:rFonts w:ascii="Times New Roman" w:eastAsia="Times New Roman" w:hAnsi="Times New Roman" w:cs="Times New Roman"/>
          <w:sz w:val="22"/>
          <w:szCs w:val="22"/>
          <w:lang w:val="es-CL"/>
        </w:rPr>
        <w:t>, tanto</w:t>
      </w:r>
      <w:r w:rsidRPr="00323EDB">
        <w:rPr>
          <w:rFonts w:ascii="Times New Roman" w:eastAsia="Times New Roman" w:hAnsi="Times New Roman" w:cs="Times New Roman"/>
          <w:sz w:val="22"/>
          <w:szCs w:val="22"/>
          <w:lang w:val="es-CL"/>
        </w:rPr>
        <w:t xml:space="preserve"> desde un punto de vista teórico</w:t>
      </w:r>
      <w:r w:rsidR="0067208E">
        <w:rPr>
          <w:rFonts w:ascii="Times New Roman" w:eastAsia="Times New Roman" w:hAnsi="Times New Roman" w:cs="Times New Roman"/>
          <w:sz w:val="22"/>
          <w:szCs w:val="22"/>
          <w:lang w:val="es-CL"/>
        </w:rPr>
        <w:t xml:space="preserve"> como</w:t>
      </w:r>
      <w:r w:rsidRPr="00323EDB">
        <w:rPr>
          <w:rFonts w:ascii="Times New Roman" w:eastAsia="Times New Roman" w:hAnsi="Times New Roman" w:cs="Times New Roman"/>
          <w:sz w:val="22"/>
          <w:szCs w:val="22"/>
          <w:lang w:val="es-CL"/>
        </w:rPr>
        <w:t xml:space="preserve"> </w:t>
      </w:r>
      <w:r w:rsidR="0067208E">
        <w:rPr>
          <w:rFonts w:ascii="Times New Roman" w:eastAsia="Times New Roman" w:hAnsi="Times New Roman" w:cs="Times New Roman"/>
          <w:sz w:val="22"/>
          <w:szCs w:val="22"/>
          <w:lang w:val="es-CL"/>
        </w:rPr>
        <w:t xml:space="preserve">empírico. Específicamente, a </w:t>
      </w:r>
      <w:r w:rsidRPr="00323EDB">
        <w:rPr>
          <w:rFonts w:ascii="Times New Roman" w:eastAsia="Times New Roman" w:hAnsi="Times New Roman" w:cs="Times New Roman"/>
          <w:sz w:val="22"/>
          <w:szCs w:val="22"/>
          <w:lang w:val="es-CL"/>
        </w:rPr>
        <w:t>partir de evidencia</w:t>
      </w:r>
      <w:r w:rsidR="0067208E">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 xml:space="preserve">recogida desde un contexto específico de interés para la investigación en educación superior, a saber, </w:t>
      </w:r>
      <w:r w:rsidR="00E216D5" w:rsidRPr="00890FF7">
        <w:rPr>
          <w:rFonts w:ascii="Times New Roman" w:eastAsia="Times New Roman" w:hAnsi="Times New Roman" w:cs="Times New Roman"/>
          <w:sz w:val="22"/>
          <w:szCs w:val="22"/>
          <w:lang w:val="es-CL"/>
        </w:rPr>
        <w:t xml:space="preserve">modelización matemática de problemas </w:t>
      </w:r>
      <w:r w:rsidR="001F153C">
        <w:rPr>
          <w:rFonts w:ascii="Times New Roman" w:eastAsia="Times New Roman" w:hAnsi="Times New Roman" w:cs="Times New Roman"/>
          <w:sz w:val="22"/>
          <w:szCs w:val="22"/>
          <w:lang w:val="es-CL"/>
        </w:rPr>
        <w:t xml:space="preserve">de investigación </w:t>
      </w:r>
      <w:r w:rsidR="00E216D5" w:rsidRPr="00890FF7">
        <w:rPr>
          <w:rFonts w:ascii="Times New Roman" w:eastAsia="Times New Roman" w:hAnsi="Times New Roman" w:cs="Times New Roman"/>
          <w:sz w:val="22"/>
          <w:szCs w:val="22"/>
          <w:lang w:val="es-CL"/>
        </w:rPr>
        <w:t>genuin</w:t>
      </w:r>
      <w:r w:rsidR="001F153C">
        <w:rPr>
          <w:rFonts w:ascii="Times New Roman" w:eastAsia="Times New Roman" w:hAnsi="Times New Roman" w:cs="Times New Roman"/>
          <w:sz w:val="22"/>
          <w:szCs w:val="22"/>
          <w:lang w:val="es-CL"/>
        </w:rPr>
        <w:t>os</w:t>
      </w:r>
      <w:r w:rsidR="00E216D5" w:rsidRPr="00890FF7">
        <w:rPr>
          <w:rFonts w:ascii="Times New Roman" w:eastAsia="Times New Roman" w:hAnsi="Times New Roman" w:cs="Times New Roman"/>
          <w:sz w:val="22"/>
          <w:szCs w:val="22"/>
          <w:lang w:val="es-CL"/>
        </w:rPr>
        <w:t xml:space="preserve"> en cursos de cálculo para ingeniería, aspecto que no ha sido tan abordado en la literatura</w:t>
      </w:r>
      <w:r w:rsidRPr="00323EDB">
        <w:rPr>
          <w:rFonts w:ascii="Times New Roman" w:eastAsia="Times New Roman" w:hAnsi="Times New Roman" w:cs="Times New Roman"/>
          <w:sz w:val="22"/>
          <w:szCs w:val="22"/>
          <w:lang w:val="es-CL"/>
        </w:rPr>
        <w:t>.</w:t>
      </w:r>
      <w:r w:rsidR="000F2DC6">
        <w:rPr>
          <w:rFonts w:ascii="Times New Roman" w:eastAsia="Times New Roman" w:hAnsi="Times New Roman" w:cs="Times New Roman"/>
          <w:sz w:val="22"/>
          <w:szCs w:val="22"/>
          <w:lang w:val="es-CL"/>
        </w:rPr>
        <w:t xml:space="preserve"> </w:t>
      </w:r>
      <w:r w:rsidR="001D45AD">
        <w:rPr>
          <w:rFonts w:ascii="Times New Roman" w:eastAsia="Times New Roman" w:hAnsi="Times New Roman" w:cs="Times New Roman"/>
          <w:sz w:val="22"/>
          <w:szCs w:val="22"/>
          <w:lang w:val="es-CL"/>
        </w:rPr>
        <w:t xml:space="preserve">La elección del ciclo de </w:t>
      </w:r>
      <w:r w:rsidR="000F2DC6" w:rsidRPr="00890FF7">
        <w:rPr>
          <w:rFonts w:ascii="Times New Roman" w:eastAsia="Times New Roman" w:hAnsi="Times New Roman" w:cs="Times New Roman"/>
          <w:sz w:val="22"/>
          <w:szCs w:val="22"/>
          <w:lang w:val="es-CL"/>
        </w:rPr>
        <w:t>Blomhøj</w:t>
      </w:r>
      <w:r w:rsidR="001D45AD" w:rsidRPr="00890FF7">
        <w:rPr>
          <w:rFonts w:ascii="Times New Roman" w:eastAsia="Times New Roman" w:hAnsi="Times New Roman" w:cs="Times New Roman"/>
          <w:sz w:val="22"/>
          <w:szCs w:val="22"/>
          <w:lang w:val="es-CL"/>
        </w:rPr>
        <w:t xml:space="preserve"> se debe a que </w:t>
      </w:r>
      <w:r w:rsidR="00345E13" w:rsidRPr="00890FF7">
        <w:rPr>
          <w:rFonts w:ascii="Times New Roman" w:eastAsia="Times New Roman" w:hAnsi="Times New Roman" w:cs="Times New Roman"/>
          <w:sz w:val="22"/>
          <w:szCs w:val="22"/>
          <w:lang w:val="es-CL"/>
        </w:rPr>
        <w:t xml:space="preserve">toma en cuenta </w:t>
      </w:r>
      <w:r w:rsidR="001D45AD" w:rsidRPr="00890FF7">
        <w:rPr>
          <w:rFonts w:ascii="Times New Roman" w:eastAsia="Times New Roman" w:hAnsi="Times New Roman" w:cs="Times New Roman"/>
          <w:sz w:val="22"/>
          <w:szCs w:val="22"/>
          <w:lang w:val="es-CL"/>
        </w:rPr>
        <w:t>aspectos epistemológico</w:t>
      </w:r>
      <w:r w:rsidR="00345E13" w:rsidRPr="00890FF7">
        <w:rPr>
          <w:rFonts w:ascii="Times New Roman" w:eastAsia="Times New Roman" w:hAnsi="Times New Roman" w:cs="Times New Roman"/>
          <w:sz w:val="22"/>
          <w:szCs w:val="22"/>
          <w:lang w:val="es-CL"/>
        </w:rPr>
        <w:t>s de la teoría subyacente a la modelización, lo</w:t>
      </w:r>
      <w:r w:rsidR="001D45AD" w:rsidRPr="00890FF7">
        <w:rPr>
          <w:rFonts w:ascii="Times New Roman" w:eastAsia="Times New Roman" w:hAnsi="Times New Roman" w:cs="Times New Roman"/>
          <w:sz w:val="22"/>
          <w:szCs w:val="22"/>
          <w:lang w:val="es-CL"/>
        </w:rPr>
        <w:t xml:space="preserve"> que adquiere mayor</w:t>
      </w:r>
      <w:r w:rsidR="00345E13" w:rsidRPr="00890FF7">
        <w:rPr>
          <w:rFonts w:ascii="Times New Roman" w:eastAsia="Times New Roman" w:hAnsi="Times New Roman" w:cs="Times New Roman"/>
          <w:sz w:val="22"/>
          <w:szCs w:val="22"/>
          <w:lang w:val="es-CL"/>
        </w:rPr>
        <w:t xml:space="preserve"> </w:t>
      </w:r>
      <w:r w:rsidR="00E216D5" w:rsidRPr="00890FF7">
        <w:rPr>
          <w:rFonts w:ascii="Times New Roman" w:eastAsia="Times New Roman" w:hAnsi="Times New Roman" w:cs="Times New Roman"/>
          <w:sz w:val="22"/>
          <w:szCs w:val="22"/>
          <w:lang w:val="es-CL"/>
        </w:rPr>
        <w:t>importancia</w:t>
      </w:r>
      <w:r w:rsidR="00345E13" w:rsidRPr="00890FF7">
        <w:rPr>
          <w:rFonts w:ascii="Times New Roman" w:eastAsia="Times New Roman" w:hAnsi="Times New Roman" w:cs="Times New Roman"/>
          <w:sz w:val="22"/>
          <w:szCs w:val="22"/>
          <w:lang w:val="es-CL"/>
        </w:rPr>
        <w:t xml:space="preserve"> cuando los problemas </w:t>
      </w:r>
      <w:r w:rsidR="001F153C" w:rsidRPr="00890FF7">
        <w:rPr>
          <w:rFonts w:ascii="Times New Roman" w:eastAsia="Times New Roman" w:hAnsi="Times New Roman" w:cs="Times New Roman"/>
          <w:sz w:val="22"/>
          <w:szCs w:val="22"/>
          <w:lang w:val="es-CL"/>
        </w:rPr>
        <w:t xml:space="preserve">corresponden a </w:t>
      </w:r>
      <w:r w:rsidR="00345E13" w:rsidRPr="00890FF7">
        <w:rPr>
          <w:rFonts w:ascii="Times New Roman" w:eastAsia="Times New Roman" w:hAnsi="Times New Roman" w:cs="Times New Roman"/>
          <w:sz w:val="22"/>
          <w:szCs w:val="22"/>
          <w:lang w:val="es-CL"/>
        </w:rPr>
        <w:t>investigaciones genuinas, solicitando un</w:t>
      </w:r>
      <w:r w:rsidR="000F2DC6" w:rsidRPr="00890FF7">
        <w:rPr>
          <w:rFonts w:ascii="Times New Roman" w:eastAsia="Times New Roman" w:hAnsi="Times New Roman" w:cs="Times New Roman"/>
          <w:sz w:val="22"/>
          <w:szCs w:val="22"/>
          <w:lang w:val="es-CL"/>
        </w:rPr>
        <w:t xml:space="preserve"> trabajo </w:t>
      </w:r>
      <w:r w:rsidR="00D82B81" w:rsidRPr="00890FF7">
        <w:rPr>
          <w:rFonts w:ascii="Times New Roman" w:eastAsia="Times New Roman" w:hAnsi="Times New Roman" w:cs="Times New Roman"/>
          <w:sz w:val="22"/>
          <w:szCs w:val="22"/>
          <w:lang w:val="es-CL"/>
        </w:rPr>
        <w:t xml:space="preserve">de resolución de tareas </w:t>
      </w:r>
      <w:r w:rsidR="00134B98" w:rsidRPr="00890FF7">
        <w:rPr>
          <w:rFonts w:ascii="Times New Roman" w:eastAsia="Times New Roman" w:hAnsi="Times New Roman" w:cs="Times New Roman"/>
          <w:sz w:val="22"/>
          <w:szCs w:val="22"/>
          <w:lang w:val="es-CL"/>
        </w:rPr>
        <w:t xml:space="preserve">con </w:t>
      </w:r>
      <w:r w:rsidR="00E216D5" w:rsidRPr="00890FF7">
        <w:rPr>
          <w:rFonts w:ascii="Times New Roman" w:eastAsia="Times New Roman" w:hAnsi="Times New Roman" w:cs="Times New Roman"/>
          <w:sz w:val="22"/>
          <w:szCs w:val="22"/>
          <w:lang w:val="es-CL"/>
        </w:rPr>
        <w:t>alta</w:t>
      </w:r>
      <w:r w:rsidR="00134B98" w:rsidRPr="00890FF7">
        <w:rPr>
          <w:rFonts w:ascii="Times New Roman" w:eastAsia="Times New Roman" w:hAnsi="Times New Roman" w:cs="Times New Roman"/>
          <w:sz w:val="22"/>
          <w:szCs w:val="22"/>
          <w:lang w:val="es-CL"/>
        </w:rPr>
        <w:t xml:space="preserve"> demanda cognitiva</w:t>
      </w:r>
      <w:r w:rsidR="000F2DC6" w:rsidRPr="00890FF7">
        <w:rPr>
          <w:rFonts w:ascii="Times New Roman" w:eastAsia="Times New Roman" w:hAnsi="Times New Roman" w:cs="Times New Roman"/>
          <w:sz w:val="22"/>
          <w:szCs w:val="22"/>
          <w:lang w:val="es-CL"/>
        </w:rPr>
        <w:t xml:space="preserve"> </w:t>
      </w:r>
      <w:r w:rsidR="00134B98" w:rsidRPr="00890FF7">
        <w:rPr>
          <w:rFonts w:ascii="Times New Roman" w:eastAsia="Times New Roman" w:hAnsi="Times New Roman" w:cs="Times New Roman"/>
          <w:sz w:val="22"/>
          <w:szCs w:val="22"/>
          <w:lang w:val="es-CL"/>
        </w:rPr>
        <w:t>(</w:t>
      </w:r>
      <w:r w:rsidR="003A06BB" w:rsidRPr="00890FF7">
        <w:rPr>
          <w:rFonts w:ascii="Times New Roman" w:eastAsia="Times New Roman" w:hAnsi="Times New Roman" w:cs="Times New Roman"/>
          <w:sz w:val="22"/>
          <w:szCs w:val="22"/>
          <w:lang w:val="es-CL"/>
        </w:rPr>
        <w:t xml:space="preserve">e.g. </w:t>
      </w:r>
      <w:r w:rsidR="00134B98" w:rsidRPr="00890FF7">
        <w:rPr>
          <w:rFonts w:ascii="Times New Roman" w:eastAsia="Times New Roman" w:hAnsi="Times New Roman" w:cs="Times New Roman"/>
          <w:sz w:val="22"/>
          <w:szCs w:val="22"/>
          <w:lang w:val="es-CL"/>
        </w:rPr>
        <w:t>Blomhøj, 2020;</w:t>
      </w:r>
      <w:r w:rsidR="003A06BB" w:rsidRPr="00890FF7">
        <w:rPr>
          <w:rFonts w:ascii="Times New Roman" w:eastAsia="Times New Roman" w:hAnsi="Times New Roman" w:cs="Times New Roman"/>
          <w:sz w:val="22"/>
          <w:szCs w:val="22"/>
          <w:lang w:val="es-CL"/>
        </w:rPr>
        <w:t xml:space="preserve"> 2021</w:t>
      </w:r>
      <w:r w:rsidR="00134B98" w:rsidRPr="00890FF7">
        <w:rPr>
          <w:rFonts w:ascii="Times New Roman" w:eastAsia="Times New Roman" w:hAnsi="Times New Roman" w:cs="Times New Roman"/>
          <w:sz w:val="22"/>
          <w:szCs w:val="22"/>
          <w:lang w:val="es-CL"/>
        </w:rPr>
        <w:t>)</w:t>
      </w:r>
      <w:r w:rsidR="000F2DC6" w:rsidRPr="00890FF7">
        <w:rPr>
          <w:rFonts w:ascii="Times New Roman" w:eastAsia="Times New Roman" w:hAnsi="Times New Roman" w:cs="Times New Roman"/>
          <w:sz w:val="22"/>
          <w:szCs w:val="22"/>
          <w:lang w:val="es-CL"/>
        </w:rPr>
        <w:t>.</w:t>
      </w:r>
    </w:p>
    <w:p w14:paraId="68E693A5" w14:textId="08B5E067" w:rsidR="006A3451" w:rsidRPr="00323EDB" w:rsidRDefault="006A3451" w:rsidP="00890FF7">
      <w:pPr>
        <w:pStyle w:val="Default"/>
        <w:ind w:firstLine="709"/>
        <w:jc w:val="both"/>
        <w:rPr>
          <w:rFonts w:eastAsia="Times New Roman"/>
          <w:sz w:val="22"/>
          <w:szCs w:val="22"/>
        </w:rPr>
      </w:pPr>
      <w:r w:rsidRPr="00323EDB">
        <w:rPr>
          <w:sz w:val="22"/>
          <w:szCs w:val="22"/>
        </w:rPr>
        <w:t>La estructura del presente artículo consta de dos partes. La primera provee una descripción del estado del arte de la modelización en ETM; para ello, se describe brevemente el marco ETM, los enfoques de modelización que han sido utilizados para el análisis mediante el ETM y luego discutimos algunos trabajos de interés sobre modelización en ETM. Posteriormente, se presenta el ciclo de modelización de Blomhøj y una posible complementariedad teórica entre ambos marcos, lo que constituye la principal novedad del presente trabajo. Con el fin de someter a prueba nuestra propuesta de complementariedad, la segunda parte se ocupa del análisis de los datos recogidos en una experimentación sobre la resolución de una tarea de modelización. En particular, describimos los aspectos metodológicos y el proceso de experimentación implementad</w:t>
      </w:r>
      <w:r w:rsidR="00E216D5">
        <w:rPr>
          <w:sz w:val="22"/>
          <w:szCs w:val="22"/>
        </w:rPr>
        <w:t>a</w:t>
      </w:r>
      <w:r w:rsidRPr="00323EDB">
        <w:rPr>
          <w:sz w:val="22"/>
          <w:szCs w:val="22"/>
        </w:rPr>
        <w:t xml:space="preserve"> en un curso de cálculo en una carrera de ingeniería civil. Enseguida, analizamos los datos para caracterizar el trabajo matemático de estudiantes de ingeniería en la resolución de una tarea de modelización</w:t>
      </w:r>
      <w:r w:rsidR="00E216D5">
        <w:rPr>
          <w:sz w:val="22"/>
          <w:szCs w:val="22"/>
        </w:rPr>
        <w:t xml:space="preserve"> de un problema</w:t>
      </w:r>
      <w:r w:rsidRPr="00323EDB">
        <w:rPr>
          <w:sz w:val="22"/>
          <w:szCs w:val="22"/>
        </w:rPr>
        <w:t xml:space="preserve"> </w:t>
      </w:r>
      <w:r w:rsidR="001F153C">
        <w:rPr>
          <w:sz w:val="22"/>
          <w:szCs w:val="22"/>
        </w:rPr>
        <w:t>de investigación</w:t>
      </w:r>
      <w:r w:rsidRPr="00323EDB">
        <w:rPr>
          <w:sz w:val="22"/>
          <w:szCs w:val="22"/>
        </w:rPr>
        <w:t xml:space="preserve"> real, basado en la propuesta de complementariedad entre el enfoque de modelización de Blomhøj y el ETM. Finalmente, exponemos las conclusiones que permiten continuar con el desarrollo de la complementación ETM-modelización, con énfasis </w:t>
      </w:r>
      <w:r w:rsidR="00E216D5" w:rsidRPr="00890FF7">
        <w:rPr>
          <w:sz w:val="22"/>
          <w:szCs w:val="22"/>
        </w:rPr>
        <w:t xml:space="preserve">en problemas </w:t>
      </w:r>
      <w:r w:rsidR="00E216D5">
        <w:rPr>
          <w:sz w:val="22"/>
          <w:szCs w:val="22"/>
        </w:rPr>
        <w:t>de</w:t>
      </w:r>
      <w:r w:rsidR="00E216D5" w:rsidRPr="00890FF7">
        <w:rPr>
          <w:sz w:val="22"/>
          <w:szCs w:val="22"/>
        </w:rPr>
        <w:t xml:space="preserve"> </w:t>
      </w:r>
      <w:r w:rsidR="001F153C">
        <w:rPr>
          <w:sz w:val="22"/>
          <w:szCs w:val="22"/>
        </w:rPr>
        <w:t>investigación</w:t>
      </w:r>
      <w:r w:rsidR="00E216D5" w:rsidRPr="00890FF7">
        <w:rPr>
          <w:sz w:val="22"/>
          <w:szCs w:val="22"/>
        </w:rPr>
        <w:t xml:space="preserve"> genuin</w:t>
      </w:r>
      <w:r w:rsidR="001F153C">
        <w:rPr>
          <w:sz w:val="22"/>
          <w:szCs w:val="22"/>
        </w:rPr>
        <w:t>os</w:t>
      </w:r>
      <w:r w:rsidR="00E216D5" w:rsidRPr="00890FF7">
        <w:rPr>
          <w:sz w:val="22"/>
          <w:szCs w:val="22"/>
        </w:rPr>
        <w:t xml:space="preserve"> en educación superior.</w:t>
      </w:r>
    </w:p>
    <w:p w14:paraId="3EFF3271" w14:textId="7C4334EF" w:rsidR="235DF6B6" w:rsidRPr="00323EDB" w:rsidRDefault="235DF6B6" w:rsidP="00F21529">
      <w:pPr>
        <w:spacing w:after="120"/>
        <w:ind w:firstLine="709"/>
        <w:jc w:val="both"/>
        <w:rPr>
          <w:rFonts w:ascii="Times New Roman" w:hAnsi="Times New Roman" w:cs="Times New Roman"/>
          <w:sz w:val="22"/>
          <w:szCs w:val="22"/>
          <w:lang w:val="es-CL"/>
        </w:rPr>
      </w:pPr>
    </w:p>
    <w:p w14:paraId="78810343" w14:textId="75E81516" w:rsidR="235DF6B6" w:rsidRPr="00323EDB" w:rsidRDefault="007F5308" w:rsidP="00DD0FBE">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ANTECEDENTES TEÓRICOS</w:t>
      </w:r>
    </w:p>
    <w:p w14:paraId="453A8E18" w14:textId="54BE09F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Espacios de Trabajo Matemático</w:t>
      </w:r>
    </w:p>
    <w:p w14:paraId="726A173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objetivo principal del enfoque analítico ETM (Kuzniak, 2011; Kuzniak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2016, y Gómez- Chacón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2016) es caracterizar el trabajo matemático en un contexto educativo, con el fin de favorecer y mejorar las condiciones en las cuales se produce el proceso de enseñanza-aprendizaje de las matemáticas. Para ello, la teoría ETM considera dos dimensiones: epistemológica y cognitiva, representadas como planos horizontales en la Fig. 1; la primera se centra en la investigación orientada a partir de los paradigmas de trabajo, los cuales dependen de los dominios de las matemáticas que la estructuran y tienen en cuenta la diversidad de la actividad del matemático, que se relaciona con la naturaleza de los objetos estudiados, lo que implica conocer los fundamentos epistemológicos de esas diferencias. El ETM, como actividad humana, requiere de la dimensión cognitiva, la cual está asociada con el plano epistemológico a través de la resolución de problemas. El espacio abstracto concebido de esta manera se entiende como una estructura organizada que permite describir las actividades de los individuos al resolver problemas.</w:t>
      </w:r>
    </w:p>
    <w:p w14:paraId="46EE78D3" w14:textId="77777777" w:rsidR="00F663E8" w:rsidRPr="00507111" w:rsidRDefault="00F663E8" w:rsidP="00035295">
      <w:pPr>
        <w:ind w:firstLine="709"/>
        <w:jc w:val="both"/>
        <w:rPr>
          <w:rFonts w:ascii="Times New Roman" w:eastAsia="Times New Roman" w:hAnsi="Times New Roman" w:cs="Times New Roman"/>
          <w:b/>
          <w:bCs/>
          <w:sz w:val="22"/>
          <w:szCs w:val="22"/>
          <w:lang w:val="es-CL"/>
        </w:rPr>
      </w:pPr>
      <w:r w:rsidRPr="00507111">
        <w:rPr>
          <w:rFonts w:ascii="Times New Roman" w:eastAsia="Times New Roman" w:hAnsi="Times New Roman" w:cs="Times New Roman"/>
          <w:b/>
          <w:bCs/>
          <w:sz w:val="22"/>
          <w:szCs w:val="22"/>
          <w:lang w:val="es-CL"/>
        </w:rPr>
        <w:t>Figura 1</w:t>
      </w:r>
    </w:p>
    <w:p w14:paraId="50A7CC75" w14:textId="459E0E9E" w:rsidR="00F663E8" w:rsidRPr="00323EDB" w:rsidRDefault="00F663E8" w:rsidP="00035295">
      <w:pPr>
        <w:ind w:firstLine="709"/>
        <w:jc w:val="both"/>
        <w:rPr>
          <w:rFonts w:ascii="Times New Roman" w:eastAsia="Times New Roman" w:hAnsi="Times New Roman" w:cs="Times New Roman"/>
          <w:i/>
          <w:sz w:val="22"/>
          <w:szCs w:val="22"/>
          <w:lang w:val="es-CL"/>
        </w:rPr>
      </w:pPr>
      <w:r w:rsidRPr="00323EDB">
        <w:rPr>
          <w:rFonts w:ascii="Times New Roman" w:eastAsia="Times New Roman" w:hAnsi="Times New Roman" w:cs="Times New Roman"/>
          <w:i/>
          <w:sz w:val="22"/>
          <w:szCs w:val="22"/>
          <w:lang w:val="es-CL"/>
        </w:rPr>
        <w:t xml:space="preserve">Esquema del Espacio de Trabajo Matemático </w:t>
      </w:r>
      <w:r w:rsidRPr="00323EDB">
        <w:rPr>
          <w:rFonts w:ascii="Times New Roman" w:eastAsia="Times New Roman" w:hAnsi="Times New Roman" w:cs="Times New Roman"/>
          <w:sz w:val="22"/>
          <w:szCs w:val="22"/>
          <w:lang w:val="es-CL"/>
        </w:rPr>
        <w:t>(Kuzniak y Richard, 2014)</w:t>
      </w:r>
    </w:p>
    <w:p w14:paraId="6B0A8E45" w14:textId="150960C7" w:rsidR="007F5308" w:rsidRPr="00323EDB" w:rsidRDefault="007F5308" w:rsidP="00844806">
      <w:pPr>
        <w:spacing w:after="120"/>
        <w:ind w:firstLine="709"/>
        <w:jc w:val="center"/>
        <w:rPr>
          <w:rFonts w:ascii="Times New Roman" w:eastAsia="Times New Roman" w:hAnsi="Times New Roman" w:cs="Times New Roman"/>
          <w:sz w:val="22"/>
          <w:szCs w:val="22"/>
          <w:lang w:val="es-CL"/>
        </w:rPr>
      </w:pPr>
      <w:r w:rsidRPr="00323EDB">
        <w:rPr>
          <w:rFonts w:ascii="Times New Roman" w:eastAsia="Times New Roman" w:hAnsi="Times New Roman" w:cs="Times New Roman"/>
          <w:noProof/>
          <w:sz w:val="22"/>
          <w:szCs w:val="22"/>
          <w:lang w:val="es-CL" w:eastAsia="es-CL" w:bidi="ar-SA"/>
        </w:rPr>
        <w:drawing>
          <wp:inline distT="0" distB="0" distL="0" distR="0" wp14:anchorId="17BE0DA9" wp14:editId="40DFF960">
            <wp:extent cx="2788876" cy="173861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3831" cy="1747935"/>
                    </a:xfrm>
                    <a:prstGeom prst="rect">
                      <a:avLst/>
                    </a:prstGeom>
                    <a:solidFill>
                      <a:srgbClr val="FFFFFF"/>
                    </a:solidFill>
                    <a:ln>
                      <a:noFill/>
                    </a:ln>
                  </pic:spPr>
                </pic:pic>
              </a:graphicData>
            </a:graphic>
          </wp:inline>
        </w:drawing>
      </w:r>
    </w:p>
    <w:p w14:paraId="636B6C6B"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plano epistemológico está constituido de tres componentes en interacción: el referencial (formado por las propiedades, teoremas y definiciones, entre otros), el representamen (signos), y artefactos (materiales o simbólicos); de la misma forma, el plano cognitivo se compone por la visualización, construcción y prueba. La teoría ETM considera entre sus principios algunos autores que le proveen fundamento, entre los cuales se destaca Peirce (1990), debido a su definición del mundo real mediante los signos. Para Peirce, el signo no representa necesariamente a un objeto empírico; puede representar una ley convencional, la propiedad de una cosa, de una acción o de un acontecimiento. Los objetos que los signos representan pueden ser perceptibles, imaginables y aún inimaginables, pero siempre conocidos (Peirce, 1990; p.94). Los signos permiten comprender y conocer la realidad tomando como fundamento la propia realidad, lo cual permitiría relacionar ETM con modelización partiendo de ésta última, pudiendo ser el plano epistemológico, mediante la génesis semiótica, una posible intersección de ambas teorías.</w:t>
      </w:r>
    </w:p>
    <w:p w14:paraId="31DE2B6D"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análisis del trabajo matemático, a través de la teoría ETM, permite estudiar cómo se construye progresivamente, conectando los componentes de los planos epistemológicos y cognitivos mediante tres génesis: semiótica, instrumental y discursiva. De acuerdo con el esquema representado en la Fig. 1, la génesis semiótica, considerada como un proceso de decodificación e interpretación de signos, se refiere a la percepción de un signo (representamen) por medio de la comprensión cognitiva. La relación inversa, codificación o instanciación, ocurre en la comprensión del sujeto al construir o especificar un signo. La génesis instrumental permite hacer que los artefactos sean operativos en los procesos de construcción de conceptos u objetos que contribuyen al logro del trabajo matemático. La génesis discursiva de la prueba es el proceso mediante el cual las propiedades y los resultados organizados en el referencial se desarrollan para estar disponibles para el razonamiento matemático y las validaciones discursivas, </w:t>
      </w:r>
      <w:r w:rsidRPr="00323EDB">
        <w:rPr>
          <w:rFonts w:ascii="Times New Roman" w:eastAsia="Times New Roman" w:hAnsi="Times New Roman" w:cs="Times New Roman"/>
          <w:i/>
          <w:iCs/>
          <w:sz w:val="22"/>
          <w:szCs w:val="22"/>
          <w:lang w:val="es-CL"/>
        </w:rPr>
        <w:t>i.e.</w:t>
      </w:r>
      <w:r w:rsidRPr="00323EDB">
        <w:rPr>
          <w:rFonts w:ascii="Times New Roman" w:eastAsia="Times New Roman" w:hAnsi="Times New Roman" w:cs="Times New Roman"/>
          <w:sz w:val="22"/>
          <w:szCs w:val="22"/>
          <w:lang w:val="es-CL"/>
        </w:rPr>
        <w:t>, aquellos que van más allá de las pruebas gráficas, empíricas o instrumentadas.</w:t>
      </w:r>
    </w:p>
    <w:p w14:paraId="0A5981F4"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bookmarkStart w:id="1" w:name="_gjdgxs"/>
      <w:bookmarkEnd w:id="1"/>
      <w:r w:rsidRPr="00323EDB">
        <w:rPr>
          <w:rFonts w:ascii="Times New Roman" w:eastAsia="Times New Roman" w:hAnsi="Times New Roman" w:cs="Times New Roman"/>
          <w:sz w:val="22"/>
          <w:szCs w:val="22"/>
          <w:lang w:val="es-CL"/>
        </w:rPr>
        <w:t>Los planos epistemológicos y cognitivos estructuran la teoría ETM que proporciona un modelo para comprender la circulación dentro del trabajo matemático. Estos dos niveles están articulados por las tres génesis, cuyas interacciones se describen mediante el uso de tres planos verticales, denotados por </w:t>
      </w:r>
      <w:proofErr w:type="spellStart"/>
      <w:r w:rsidRPr="00323EDB">
        <w:rPr>
          <w:rFonts w:ascii="Times New Roman" w:eastAsia="Times New Roman" w:hAnsi="Times New Roman" w:cs="Times New Roman"/>
          <w:sz w:val="22"/>
          <w:szCs w:val="22"/>
          <w:lang w:val="es-CL"/>
        </w:rPr>
        <w:t>Sem-Dis</w:t>
      </w:r>
      <w:proofErr w:type="spellEnd"/>
      <w:r w:rsidRPr="00323EDB">
        <w:rPr>
          <w:rFonts w:ascii="Times New Roman" w:eastAsia="Times New Roman" w:hAnsi="Times New Roman" w:cs="Times New Roman"/>
          <w:sz w:val="22"/>
          <w:szCs w:val="22"/>
          <w:lang w:val="es-CL"/>
        </w:rPr>
        <w:t>,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e </w:t>
      </w:r>
      <w:proofErr w:type="spellStart"/>
      <w:r w:rsidRPr="00323EDB">
        <w:rPr>
          <w:rFonts w:ascii="Times New Roman" w:eastAsia="Times New Roman" w:hAnsi="Times New Roman" w:cs="Times New Roman"/>
          <w:sz w:val="22"/>
          <w:szCs w:val="22"/>
          <w:lang w:val="es-CL"/>
        </w:rPr>
        <w:t>Ins-Dis</w:t>
      </w:r>
      <w:proofErr w:type="spellEnd"/>
      <w:r w:rsidRPr="00323EDB">
        <w:rPr>
          <w:rFonts w:ascii="Times New Roman" w:eastAsia="Times New Roman" w:hAnsi="Times New Roman" w:cs="Times New Roman"/>
          <w:sz w:val="22"/>
          <w:szCs w:val="22"/>
          <w:lang w:val="es-CL"/>
        </w:rPr>
        <w:t>, que surgen naturalmente en la Fig. 1, involucrando la génesis semiótica y discursiva, semiótica e instrumental, e instrumental y discursiva, respectivamente.</w:t>
      </w:r>
    </w:p>
    <w:p w14:paraId="3D422836"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Finalmente, consideramos los paradigmas del análisis real (Montoya-Delgadillo y Vivier, 2016), los cuales guían el trabajo matemático en este campo. Particularmente, el paradigma Análisis Aritmético/Geométrico (AG) involucra un trabajo de tipo perceptivo basado en interpretaciones a partir de gráficos o números, lo cual apoya la enseñanza de un determinado objeto tales como ecuaciones o funciones, en sus primeras etapas. Este permite interpretaciones con hipótesis implícitas basadas en la geometría, el cálculo aritmético, o el mundo real.</w:t>
      </w:r>
    </w:p>
    <w:p w14:paraId="30F79AEB" w14:textId="77777777" w:rsidR="00F663E8" w:rsidRPr="00323EDB" w:rsidRDefault="00F663E8" w:rsidP="007F5308">
      <w:pPr>
        <w:spacing w:after="120"/>
        <w:ind w:firstLine="709"/>
        <w:jc w:val="both"/>
        <w:rPr>
          <w:rFonts w:ascii="Times New Roman" w:eastAsia="Times New Roman" w:hAnsi="Times New Roman" w:cs="Times New Roman"/>
          <w:b/>
          <w:sz w:val="22"/>
          <w:szCs w:val="22"/>
          <w:lang w:val="es-CL"/>
        </w:rPr>
      </w:pPr>
    </w:p>
    <w:p w14:paraId="56A5C76A" w14:textId="5F4D3BAF"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El ciclo de modelización de Blomhøj</w:t>
      </w:r>
    </w:p>
    <w:p w14:paraId="30E01C2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La actividad de modelizar es interpretada como un proceso cíclico y no lineal, caracterizando de forma continua las relaciones entre las ideas que viven en la realidad y las matemáticas, y ubicando en relieve los subprocesos que relacionan a ambas, desde una base epistemológica definida por el sujeto con distintos alcances. Inicia con un problema de la vida real, planteando un objetivo que demanda una tarea de modelización desde la realidad situada en un dominio de investigación, en muchas ocasiones con un carácter interdisciplinario, prevaleciendo un proceso de investigación dinámico que considera como base las relaciones entre los conceptos matemáticos e ideas, y las experiencias de la vida real (Artigue y Blomhøj, 2013).</w:t>
      </w:r>
    </w:p>
    <w:p w14:paraId="1405045C"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Para Blomhøj (2004), el proceso de modelización inicia desde una situación del mundo real, que, en ocasiones, no necesariamente posee un carácter explícito; por ejemplo, si se plantea el problema de ahorro de agua en las mañanas (Blomhøj, 2004), una tarea sería cómo optimizar las variables a considerar en la ducha, o alguna otra que sea pertinente al problema, guiada por la caracterización epistemológica del sujeto (Artigue y Blomhøj, 2013). A partir de una caracterización analítica, representada en la Fig. 2, el proceso de modelización matemática posee 6 sub-procesos Blomhøj (2004; 2013):</w:t>
      </w:r>
    </w:p>
    <w:p w14:paraId="1F8500B6"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Formulación del problema: formulación de una tarea (más o menos explícita) que guíe la identificación de las características de la realidad percibida que será́ modelizada. </w:t>
      </w:r>
    </w:p>
    <w:p w14:paraId="4C78FDF0"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Sistematización: selección de los objetos relevantes, relaciones, etc., del dominio de investigación resultante e idealización de las mismas para hacer posible una representación matemática. </w:t>
      </w:r>
    </w:p>
    <w:p w14:paraId="58B2C663"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Traducción de esos objetos y relaciones al lenguaje matemático. </w:t>
      </w:r>
    </w:p>
    <w:p w14:paraId="5D71BAE0"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Uso de métodos matemáticos para arribar a resultados matemáticos y conclusiones. </w:t>
      </w:r>
    </w:p>
    <w:p w14:paraId="6F1B0754"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Interpretación de los resultados y conclusiones considerando el dominio de investigación inicial. </w:t>
      </w:r>
    </w:p>
    <w:p w14:paraId="7AF50731"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Evaluación de la validez del modelo por comparación con datos o con el conocimiento teórico o por experiencia personal o compartida.</w:t>
      </w:r>
    </w:p>
    <w:p w14:paraId="2EF7D5BE" w14:textId="77777777" w:rsidR="00F663E8" w:rsidRPr="00323EDB" w:rsidRDefault="00F663E8" w:rsidP="00F663E8">
      <w:pPr>
        <w:pStyle w:val="Prrafodelista"/>
        <w:spacing w:after="120"/>
        <w:jc w:val="both"/>
        <w:rPr>
          <w:rFonts w:ascii="Times New Roman" w:eastAsia="Times New Roman" w:hAnsi="Times New Roman" w:cs="Times New Roman"/>
          <w:sz w:val="22"/>
          <w:szCs w:val="22"/>
          <w:lang w:val="es-CL"/>
        </w:rPr>
      </w:pPr>
    </w:p>
    <w:p w14:paraId="480FA77C" w14:textId="77777777" w:rsidR="00F663E8" w:rsidRPr="00F546B3" w:rsidRDefault="00F663E8" w:rsidP="00936AF9">
      <w:pPr>
        <w:spacing w:after="120"/>
        <w:ind w:firstLine="709"/>
        <w:rPr>
          <w:rFonts w:ascii="Times New Roman" w:eastAsia="Times New Roman" w:hAnsi="Times New Roman" w:cs="Times New Roman"/>
          <w:b/>
          <w:bCs/>
          <w:sz w:val="22"/>
          <w:szCs w:val="22"/>
          <w:lang w:val="es-CL"/>
        </w:rPr>
      </w:pPr>
      <w:r w:rsidRPr="00F546B3">
        <w:rPr>
          <w:rFonts w:ascii="Times New Roman" w:eastAsia="Times New Roman" w:hAnsi="Times New Roman" w:cs="Times New Roman"/>
          <w:b/>
          <w:bCs/>
          <w:sz w:val="22"/>
          <w:szCs w:val="22"/>
          <w:lang w:val="es-CL"/>
        </w:rPr>
        <w:t>Figura 2</w:t>
      </w:r>
    </w:p>
    <w:p w14:paraId="06525A1A" w14:textId="1B99189D" w:rsidR="00F663E8" w:rsidRPr="00F546B3" w:rsidRDefault="00F663E8" w:rsidP="00936AF9">
      <w:pPr>
        <w:spacing w:after="120"/>
        <w:ind w:firstLine="709"/>
        <w:rPr>
          <w:rFonts w:ascii="Times New Roman" w:eastAsia="Times New Roman" w:hAnsi="Times New Roman" w:cs="Times New Roman"/>
          <w:i/>
          <w:iCs/>
          <w:sz w:val="22"/>
          <w:szCs w:val="22"/>
          <w:lang w:val="es-CL"/>
        </w:rPr>
      </w:pPr>
      <w:r w:rsidRPr="00F546B3">
        <w:rPr>
          <w:rFonts w:ascii="Times New Roman" w:eastAsia="Times New Roman" w:hAnsi="Times New Roman" w:cs="Times New Roman"/>
          <w:i/>
          <w:iCs/>
          <w:sz w:val="22"/>
          <w:szCs w:val="22"/>
          <w:lang w:val="es-CL"/>
        </w:rPr>
        <w:t xml:space="preserve">Ciclo de modelización de </w:t>
      </w:r>
      <w:proofErr w:type="spellStart"/>
      <w:r w:rsidRPr="00F546B3">
        <w:rPr>
          <w:rFonts w:ascii="Times New Roman" w:eastAsia="Times New Roman" w:hAnsi="Times New Roman" w:cs="Times New Roman"/>
          <w:i/>
          <w:iCs/>
          <w:sz w:val="22"/>
          <w:szCs w:val="22"/>
          <w:lang w:val="es-CL"/>
        </w:rPr>
        <w:t>Blomhøj</w:t>
      </w:r>
      <w:proofErr w:type="spellEnd"/>
      <w:r w:rsidRPr="00F546B3">
        <w:rPr>
          <w:rFonts w:ascii="Times New Roman" w:eastAsia="Times New Roman" w:hAnsi="Times New Roman" w:cs="Times New Roman"/>
          <w:i/>
          <w:iCs/>
          <w:sz w:val="22"/>
          <w:szCs w:val="22"/>
          <w:lang w:val="es-CL"/>
        </w:rPr>
        <w:t xml:space="preserve"> (2013).</w:t>
      </w:r>
    </w:p>
    <w:p w14:paraId="2521CF60" w14:textId="6EB16E98" w:rsidR="007F5308" w:rsidRPr="00323EDB" w:rsidRDefault="007F5308" w:rsidP="00F663E8">
      <w:pPr>
        <w:spacing w:after="120"/>
        <w:ind w:firstLine="709"/>
        <w:jc w:val="center"/>
        <w:rPr>
          <w:rFonts w:ascii="Times New Roman" w:eastAsia="Times New Roman" w:hAnsi="Times New Roman" w:cs="Times New Roman"/>
          <w:sz w:val="22"/>
          <w:szCs w:val="22"/>
          <w:lang w:val="es-CL"/>
        </w:rPr>
      </w:pPr>
      <w:r w:rsidRPr="00323EDB">
        <w:rPr>
          <w:rFonts w:ascii="Times New Roman" w:eastAsia="Times New Roman" w:hAnsi="Times New Roman" w:cs="Times New Roman"/>
          <w:noProof/>
          <w:sz w:val="22"/>
          <w:szCs w:val="22"/>
          <w:lang w:val="es-CL" w:eastAsia="es-CL" w:bidi="ar-SA"/>
        </w:rPr>
        <w:drawing>
          <wp:inline distT="0" distB="0" distL="0" distR="0" wp14:anchorId="711ECA0F" wp14:editId="49C6E7A5">
            <wp:extent cx="2714625" cy="21717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171700"/>
                    </a:xfrm>
                    <a:prstGeom prst="rect">
                      <a:avLst/>
                    </a:prstGeom>
                    <a:solidFill>
                      <a:srgbClr val="FFFFFF"/>
                    </a:solidFill>
                    <a:ln>
                      <a:noFill/>
                    </a:ln>
                  </pic:spPr>
                </pic:pic>
              </a:graphicData>
            </a:graphic>
          </wp:inline>
        </w:drawing>
      </w:r>
    </w:p>
    <w:p w14:paraId="08B9062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p>
    <w:p w14:paraId="3D2EC763"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ciclo de Blomhøj considera tres islas centrales (ver Fig. 2.): la experiencia, los datos y la teoría como la base para su dinámica. En muchas ocasiones, la resolución del problema o una determinada tarea conlleva a la recopilación de datos, los cuales pueden ser parte de un modelo presupuesto, o bien la experiencia puede llevar a una idea constructiva del modelo, cuyo abordaje es generalmente de naturaleza inductiva. Sin embargo, el uso de modelos matemáticos que existen en la teoría enfatiza su uso en la resolución de una tarea de modelización, destacando una naturaleza deductiva. Asimismo, la isla teoría (ver Fig. 2) significa también el conocimiento puesto en uso según el dominio de investigación a utilizar en la tarea de modelización, lo que afecta significativamente los procesos de validación del modelo y sus aplicaciones.</w:t>
      </w:r>
    </w:p>
    <w:p w14:paraId="1A1636D1" w14:textId="38E2D6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Los subprocesos puestos en práctica para resolver una tarea de modelización, caracterizados en la Fig. 2, naturalmente conllevan a ideas matemáticas trazadas según la elección de los dominios de investigación, que dan sentido a la sistematización, y en general, a todo el proceso de resolución desde una perspectiva epistemológica y cognitiva. Esto propone un sistema de trabajo complejo, destacando aspectos centrales del proceso (las islas datos, experiencia y teoría en la Fig. 2), los que vinculan conocimientos propios de la realidad y la matemática, permitiendo proveer -desde el punto de vista de la investigación- variadas formas analíticas de idealización </w:t>
      </w:r>
      <w:r w:rsidR="00925DDC" w:rsidRPr="00323EDB">
        <w:rPr>
          <w:rFonts w:ascii="Times New Roman" w:eastAsia="Times New Roman" w:hAnsi="Times New Roman" w:cs="Times New Roman"/>
          <w:sz w:val="22"/>
          <w:szCs w:val="22"/>
          <w:lang w:val="es-CL"/>
        </w:rPr>
        <w:t>y,</w:t>
      </w:r>
      <w:r w:rsidRPr="00323EDB">
        <w:rPr>
          <w:rFonts w:ascii="Times New Roman" w:eastAsia="Times New Roman" w:hAnsi="Times New Roman" w:cs="Times New Roman"/>
          <w:sz w:val="22"/>
          <w:szCs w:val="22"/>
          <w:lang w:val="es-CL"/>
        </w:rPr>
        <w:t xml:space="preserve"> por lo tanto, diversas posibilidades de construcción de modelos matemáticos. Este proceso, en conjunto con el propósito de la tarea, permitirá establecer formas de delimitar y caracterizar el trabajo matemático, particularmente las circulaciones a través del ciclo a medida que se desarrolle el ETM personal del estudiante.</w:t>
      </w:r>
    </w:p>
    <w:p w14:paraId="61419DC8" w14:textId="77777777" w:rsidR="007F5308" w:rsidRPr="00323EDB" w:rsidRDefault="007F5308" w:rsidP="007F5308">
      <w:pPr>
        <w:spacing w:after="120"/>
        <w:ind w:firstLine="709"/>
        <w:jc w:val="both"/>
        <w:rPr>
          <w:rFonts w:ascii="Times New Roman" w:eastAsia="Times New Roman" w:hAnsi="Times New Roman" w:cs="Times New Roman"/>
          <w:b/>
          <w:sz w:val="22"/>
          <w:szCs w:val="22"/>
          <w:lang w:val="es-CL"/>
        </w:rPr>
      </w:pPr>
    </w:p>
    <w:p w14:paraId="2D4EE1CA" w14:textId="278A3A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Espacios de Trabajo Matemático y Modelización</w:t>
      </w:r>
    </w:p>
    <w:p w14:paraId="4638DDF2" w14:textId="09EDB76D"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Actualmente es posible estudiar múltiples trabajos en torno a la modelización desde el punto de vista del ETM (</w:t>
      </w:r>
      <w:proofErr w:type="spellStart"/>
      <w:r w:rsidRPr="00323EDB">
        <w:rPr>
          <w:rFonts w:ascii="Times New Roman" w:eastAsia="Times New Roman" w:hAnsi="Times New Roman" w:cs="Times New Roman"/>
          <w:sz w:val="22"/>
          <w:szCs w:val="22"/>
          <w:lang w:val="es-CL"/>
        </w:rPr>
        <w:t>Nechache</w:t>
      </w:r>
      <w:proofErr w:type="spellEnd"/>
      <w:r w:rsidRPr="00323EDB">
        <w:rPr>
          <w:rFonts w:ascii="Times New Roman" w:eastAsia="Times New Roman" w:hAnsi="Times New Roman" w:cs="Times New Roman"/>
          <w:sz w:val="22"/>
          <w:szCs w:val="22"/>
          <w:lang w:val="es-CL"/>
        </w:rPr>
        <w:t xml:space="preserve">, 2016, </w:t>
      </w:r>
      <w:proofErr w:type="spellStart"/>
      <w:r w:rsidRPr="00323EDB">
        <w:rPr>
          <w:rFonts w:ascii="Times New Roman" w:eastAsia="Times New Roman" w:hAnsi="Times New Roman" w:cs="Times New Roman"/>
          <w:sz w:val="22"/>
          <w:szCs w:val="22"/>
          <w:lang w:val="es-CL"/>
        </w:rPr>
        <w:t>Rauscher</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Adjiage</w:t>
      </w:r>
      <w:proofErr w:type="spellEnd"/>
      <w:r w:rsidRPr="00323EDB">
        <w:rPr>
          <w:rFonts w:ascii="Times New Roman" w:eastAsia="Times New Roman" w:hAnsi="Times New Roman" w:cs="Times New Roman"/>
          <w:sz w:val="22"/>
          <w:szCs w:val="22"/>
          <w:lang w:val="es-CL"/>
        </w:rPr>
        <w:t>, 2014, entre otros), encontrando una diversidad de puntos de interés en las investigaciones: algunos tratan a las tareas como un entorno contextualizado para desarrollar el ETM (</w:t>
      </w:r>
      <w:proofErr w:type="spellStart"/>
      <w:r w:rsidRPr="00323EDB">
        <w:rPr>
          <w:rFonts w:ascii="Times New Roman" w:eastAsia="Times New Roman" w:hAnsi="Times New Roman" w:cs="Times New Roman"/>
          <w:sz w:val="22"/>
          <w:szCs w:val="22"/>
          <w:lang w:val="es-CL"/>
        </w:rPr>
        <w:t>Rauscher</w:t>
      </w:r>
      <w:proofErr w:type="spellEnd"/>
      <w:r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2014; </w:t>
      </w:r>
      <w:proofErr w:type="spellStart"/>
      <w:r w:rsidRPr="00323EDB">
        <w:rPr>
          <w:rFonts w:ascii="Times New Roman" w:eastAsia="Times New Roman" w:hAnsi="Times New Roman" w:cs="Times New Roman"/>
          <w:sz w:val="22"/>
          <w:szCs w:val="22"/>
          <w:lang w:val="es-CL"/>
        </w:rPr>
        <w:t>Cosmes</w:t>
      </w:r>
      <w:proofErr w:type="spellEnd"/>
      <w:r w:rsidRPr="00323EDB">
        <w:rPr>
          <w:rFonts w:ascii="Times New Roman" w:eastAsia="Times New Roman" w:hAnsi="Times New Roman" w:cs="Times New Roman"/>
          <w:sz w:val="22"/>
          <w:szCs w:val="22"/>
          <w:lang w:val="es-CL"/>
        </w:rPr>
        <w:t>, 2018); otros analizan los efectos de reconocer a la realidad como un entorno singular para el desarrollo del ETM (</w:t>
      </w:r>
      <w:proofErr w:type="spellStart"/>
      <w:r w:rsidRPr="00323EDB">
        <w:rPr>
          <w:rFonts w:ascii="Times New Roman" w:eastAsia="Times New Roman" w:hAnsi="Times New Roman" w:cs="Times New Roman"/>
          <w:sz w:val="22"/>
          <w:szCs w:val="22"/>
          <w:lang w:val="es-CL"/>
        </w:rPr>
        <w:t>Parzycs</w:t>
      </w:r>
      <w:proofErr w:type="spellEnd"/>
      <w:r w:rsidRPr="00323EDB">
        <w:rPr>
          <w:rFonts w:ascii="Times New Roman" w:eastAsia="Times New Roman" w:hAnsi="Times New Roman" w:cs="Times New Roman"/>
          <w:sz w:val="22"/>
          <w:szCs w:val="22"/>
          <w:lang w:val="es-CL"/>
        </w:rPr>
        <w:t>, 2014); o también, problematiza</w:t>
      </w:r>
      <w:r w:rsidR="00925DDC">
        <w:rPr>
          <w:rFonts w:ascii="Times New Roman" w:eastAsia="Times New Roman" w:hAnsi="Times New Roman" w:cs="Times New Roman"/>
          <w:sz w:val="22"/>
          <w:szCs w:val="22"/>
          <w:lang w:val="es-CL"/>
        </w:rPr>
        <w:t>n los marcos teóricos</w:t>
      </w:r>
      <w:r w:rsidRPr="00323EDB">
        <w:rPr>
          <w:rFonts w:ascii="Times New Roman" w:eastAsia="Times New Roman" w:hAnsi="Times New Roman" w:cs="Times New Roman"/>
          <w:sz w:val="22"/>
          <w:szCs w:val="22"/>
          <w:lang w:val="es-CL"/>
        </w:rPr>
        <w:t xml:space="preserve"> de modelización para otorgar resultados conceptuales y eventuales articulaciones con </w:t>
      </w:r>
      <w:r w:rsidR="00925DDC">
        <w:rPr>
          <w:rFonts w:ascii="Times New Roman" w:eastAsia="Times New Roman" w:hAnsi="Times New Roman" w:cs="Times New Roman"/>
          <w:sz w:val="22"/>
          <w:szCs w:val="22"/>
          <w:lang w:val="es-CL"/>
        </w:rPr>
        <w:t>el</w:t>
      </w:r>
      <w:r w:rsidRPr="00323EDB">
        <w:rPr>
          <w:rFonts w:ascii="Times New Roman" w:eastAsia="Times New Roman" w:hAnsi="Times New Roman" w:cs="Times New Roman"/>
          <w:sz w:val="22"/>
          <w:szCs w:val="22"/>
          <w:lang w:val="es-CL"/>
        </w:rPr>
        <w:t xml:space="preserve"> ETM (Nechache, 2016; Derouet, 2017). Este último grupo de trabajo es de interés para el presente estudio, dado que pretende facilitar el análisis de las tareas de modelización, considerando un enfoque particular como el de Blum-Borromeo (Borromeo-Ferri, 2006). En este sentido, el aporte de este trabajo es proveer el desarrollo de una articulación conceptual entre ETM y </w:t>
      </w:r>
      <w:r w:rsidR="00B211F1">
        <w:rPr>
          <w:rFonts w:ascii="Times New Roman" w:eastAsia="Times New Roman" w:hAnsi="Times New Roman" w:cs="Times New Roman"/>
          <w:sz w:val="22"/>
          <w:szCs w:val="22"/>
          <w:lang w:val="es-CL"/>
        </w:rPr>
        <w:t xml:space="preserve">el ciclo </w:t>
      </w:r>
      <w:r w:rsidRPr="00323EDB">
        <w:rPr>
          <w:rFonts w:ascii="Times New Roman" w:eastAsia="Times New Roman" w:hAnsi="Times New Roman" w:cs="Times New Roman"/>
          <w:sz w:val="22"/>
          <w:szCs w:val="22"/>
          <w:lang w:val="es-CL"/>
        </w:rPr>
        <w:t>de modelización</w:t>
      </w:r>
      <w:r w:rsidR="00B211F1">
        <w:rPr>
          <w:rFonts w:ascii="Times New Roman" w:eastAsia="Times New Roman" w:hAnsi="Times New Roman" w:cs="Times New Roman"/>
          <w:sz w:val="22"/>
          <w:szCs w:val="22"/>
          <w:lang w:val="es-CL"/>
        </w:rPr>
        <w:t xml:space="preserve"> de </w:t>
      </w:r>
      <w:r w:rsidR="00B211F1" w:rsidRPr="00323EDB">
        <w:rPr>
          <w:rFonts w:ascii="Times New Roman" w:eastAsia="Times New Roman" w:hAnsi="Times New Roman" w:cs="Times New Roman"/>
          <w:sz w:val="22"/>
          <w:szCs w:val="22"/>
          <w:lang w:val="es-CL"/>
        </w:rPr>
        <w:t>Blomhøj</w:t>
      </w:r>
      <w:r w:rsidRPr="00323EDB">
        <w:rPr>
          <w:rFonts w:ascii="Times New Roman" w:eastAsia="Times New Roman" w:hAnsi="Times New Roman" w:cs="Times New Roman"/>
          <w:sz w:val="22"/>
          <w:szCs w:val="22"/>
          <w:lang w:val="es-CL"/>
        </w:rPr>
        <w:t>, promoviendo otras formas de análisis de tareas y ampliando la discusión en la comunidad científica. No se trata de reconocer algún marco de modelización adecuad</w:t>
      </w:r>
      <w:r w:rsidR="00B211F1">
        <w:rPr>
          <w:rFonts w:ascii="Times New Roman" w:eastAsia="Times New Roman" w:hAnsi="Times New Roman" w:cs="Times New Roman"/>
          <w:sz w:val="22"/>
          <w:szCs w:val="22"/>
          <w:lang w:val="es-CL"/>
        </w:rPr>
        <w:t>o</w:t>
      </w:r>
      <w:r w:rsidRPr="00323EDB">
        <w:rPr>
          <w:rFonts w:ascii="Times New Roman" w:eastAsia="Times New Roman" w:hAnsi="Times New Roman" w:cs="Times New Roman"/>
          <w:sz w:val="22"/>
          <w:szCs w:val="22"/>
          <w:lang w:val="es-CL"/>
        </w:rPr>
        <w:t xml:space="preserve"> para el ETM, sino incentivar estudios sobre este tema, despojándose de la unicidad conceptual, planteando una articulación frente a otras perspectivas con el fin de robustecer la discusión sobre el modelizar desde el ETM.</w:t>
      </w:r>
    </w:p>
    <w:p w14:paraId="46EA0E1D" w14:textId="11FBC46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general, las investigaciones de modelización que se han reportado desde el ETM son de naturaleza cualitativa y empírica, centradas en la interacción del mundo real u otras ciencias con los modelos matemáticos. Además, varias investigaciones son impulsadas por el contexto escolar de enseñanza secundaria francesa, destacando el ciclo de modelización como un aspecto común de aprendizaje, específicamente en los dominios de geometría y probabilidades (Nechache, 2016, p. 52). Al respecto, Nechache aborda </w:t>
      </w:r>
      <w:r w:rsidR="00B211F1">
        <w:rPr>
          <w:rFonts w:ascii="Times New Roman" w:eastAsia="Times New Roman" w:hAnsi="Times New Roman" w:cs="Times New Roman"/>
          <w:sz w:val="22"/>
          <w:szCs w:val="22"/>
          <w:lang w:val="es-CL"/>
        </w:rPr>
        <w:t>este aspecto</w:t>
      </w:r>
      <w:r w:rsidRPr="00323EDB">
        <w:rPr>
          <w:rFonts w:ascii="Times New Roman" w:eastAsia="Times New Roman" w:hAnsi="Times New Roman" w:cs="Times New Roman"/>
          <w:sz w:val="22"/>
          <w:szCs w:val="22"/>
          <w:lang w:val="es-CL"/>
        </w:rPr>
        <w:t xml:space="preserve"> curricular utilizando softwares para el trabajo geométrico y probabilista, caracterizando la práctica de modelización para estudiantes de enseñanza secundaria. Asimismo, Lagrange (2015, p. 317) usa el ciclo de modelización del equipo “</w:t>
      </w:r>
      <w:proofErr w:type="spellStart"/>
      <w:r w:rsidRPr="00323EDB">
        <w:rPr>
          <w:rFonts w:ascii="Times New Roman" w:eastAsia="Times New Roman" w:hAnsi="Times New Roman" w:cs="Times New Roman"/>
          <w:sz w:val="22"/>
          <w:szCs w:val="22"/>
          <w:lang w:val="es-CL"/>
        </w:rPr>
        <w:t>Casyopée</w:t>
      </w:r>
      <w:proofErr w:type="spellEnd"/>
      <w:r w:rsidRPr="00323EDB">
        <w:rPr>
          <w:rFonts w:ascii="Times New Roman" w:eastAsia="Times New Roman" w:hAnsi="Times New Roman" w:cs="Times New Roman"/>
          <w:sz w:val="22"/>
          <w:szCs w:val="22"/>
          <w:lang w:val="es-CL"/>
        </w:rPr>
        <w:t>” para la geometría dinámica, estudiando extensiones de investigación hacia la modelización de problemas físicos, de modo que cierto tipo de funciones matemáticas adquieran el sentido de resolver tales problemas.</w:t>
      </w:r>
    </w:p>
    <w:p w14:paraId="696E61B8" w14:textId="0A0C97EA" w:rsidR="007F5308" w:rsidRPr="00323EDB" w:rsidRDefault="006C36EB" w:rsidP="007F5308">
      <w:pPr>
        <w:spacing w:after="120"/>
        <w:ind w:firstLine="709"/>
        <w:jc w:val="both"/>
        <w:rPr>
          <w:rFonts w:ascii="Times New Roman" w:eastAsia="Times New Roman" w:hAnsi="Times New Roman" w:cs="Times New Roman"/>
          <w:sz w:val="22"/>
          <w:szCs w:val="22"/>
          <w:lang w:val="es-CL"/>
        </w:rPr>
      </w:pPr>
      <w:proofErr w:type="spellStart"/>
      <w:r w:rsidRPr="00323EDB">
        <w:rPr>
          <w:rFonts w:ascii="Times New Roman" w:eastAsia="Times New Roman" w:hAnsi="Times New Roman" w:cs="Times New Roman"/>
          <w:sz w:val="22"/>
          <w:szCs w:val="22"/>
          <w:lang w:val="es-CL"/>
        </w:rPr>
        <w:t>A</w:t>
      </w:r>
      <w:r w:rsidR="007F5308" w:rsidRPr="00323EDB">
        <w:rPr>
          <w:rFonts w:ascii="Times New Roman" w:eastAsia="Times New Roman" w:hAnsi="Times New Roman" w:cs="Times New Roman"/>
          <w:sz w:val="22"/>
          <w:szCs w:val="22"/>
          <w:lang w:val="es-CL"/>
        </w:rPr>
        <w:t>uscher</w:t>
      </w:r>
      <w:proofErr w:type="spellEnd"/>
      <w:r w:rsidR="007F5308" w:rsidRPr="00323EDB">
        <w:rPr>
          <w:rFonts w:ascii="Times New Roman" w:eastAsia="Times New Roman" w:hAnsi="Times New Roman" w:cs="Times New Roman"/>
          <w:sz w:val="22"/>
          <w:szCs w:val="22"/>
          <w:lang w:val="es-CL"/>
        </w:rPr>
        <w:t xml:space="preserve"> </w:t>
      </w:r>
      <w:r w:rsidR="007F5308" w:rsidRPr="00323EDB">
        <w:rPr>
          <w:rFonts w:ascii="Times New Roman" w:eastAsia="Times New Roman" w:hAnsi="Times New Roman" w:cs="Times New Roman"/>
          <w:i/>
          <w:sz w:val="22"/>
          <w:szCs w:val="22"/>
          <w:lang w:val="es-CL"/>
        </w:rPr>
        <w:t>et al</w:t>
      </w:r>
      <w:r w:rsidR="007F5308" w:rsidRPr="00323EDB">
        <w:rPr>
          <w:rFonts w:ascii="Times New Roman" w:eastAsia="Times New Roman" w:hAnsi="Times New Roman" w:cs="Times New Roman"/>
          <w:sz w:val="22"/>
          <w:szCs w:val="22"/>
          <w:lang w:val="es-CL"/>
        </w:rPr>
        <w:t xml:space="preserve">. (2014) analizan por medio del ETM el trabajo de resolución del problema del gigante -una tarea similar al clásico zapato de Blum y Borromeo-Ferri (2009), mediante una experimentación conducida en estudiantes de 10-11 años. Los autores afirman la necesidad de experimentar un proceso de modelización con el fin de resolver el problema, pero que éste no es un problema de investigación </w:t>
      </w:r>
      <w:r w:rsidR="00B211F1">
        <w:rPr>
          <w:rFonts w:ascii="Times New Roman" w:eastAsia="Times New Roman" w:hAnsi="Times New Roman" w:cs="Times New Roman"/>
          <w:sz w:val="22"/>
          <w:szCs w:val="22"/>
          <w:lang w:val="es-CL"/>
        </w:rPr>
        <w:t xml:space="preserve">genuino </w:t>
      </w:r>
      <w:r w:rsidR="007F5308" w:rsidRPr="00323EDB">
        <w:rPr>
          <w:rFonts w:ascii="Times New Roman" w:eastAsia="Times New Roman" w:hAnsi="Times New Roman" w:cs="Times New Roman"/>
          <w:sz w:val="22"/>
          <w:szCs w:val="22"/>
          <w:lang w:val="es-CL"/>
        </w:rPr>
        <w:t>para un experto. A pesar de ello, para los estudiantes, quienes no tienen un referencial bien establecido, el problema es adecuado para desarrollar el pensamiento matemático a partir de la investigación.</w:t>
      </w:r>
    </w:p>
    <w:p w14:paraId="1EC91D5E" w14:textId="135F0515"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trabajo doctoral de </w:t>
      </w:r>
      <w:proofErr w:type="spellStart"/>
      <w:r w:rsidRPr="00323EDB">
        <w:rPr>
          <w:rFonts w:ascii="Times New Roman" w:eastAsia="Times New Roman" w:hAnsi="Times New Roman" w:cs="Times New Roman"/>
          <w:sz w:val="22"/>
          <w:szCs w:val="22"/>
          <w:lang w:val="es-CL"/>
        </w:rPr>
        <w:t>Derouet</w:t>
      </w:r>
      <w:proofErr w:type="spellEnd"/>
      <w:r w:rsidRPr="00323EDB">
        <w:rPr>
          <w:rFonts w:ascii="Times New Roman" w:eastAsia="Times New Roman" w:hAnsi="Times New Roman" w:cs="Times New Roman"/>
          <w:sz w:val="22"/>
          <w:szCs w:val="22"/>
          <w:lang w:val="es-CL"/>
        </w:rPr>
        <w:t xml:space="preserve"> (2016, p.228-231) propone una discusión respecto a los ciclos de modelización, específicamente se refiere a los ciclos propuestos por Kaiser (1995), Blum (1996), Blum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(2007), </w:t>
      </w:r>
      <w:proofErr w:type="spellStart"/>
      <w:r w:rsidRPr="00323EDB">
        <w:rPr>
          <w:rFonts w:ascii="Times New Roman" w:eastAsia="Times New Roman" w:hAnsi="Times New Roman" w:cs="Times New Roman"/>
          <w:sz w:val="22"/>
          <w:szCs w:val="22"/>
          <w:lang w:val="es-CL"/>
        </w:rPr>
        <w:t>Coulange</w:t>
      </w:r>
      <w:proofErr w:type="spellEnd"/>
      <w:r w:rsidRPr="00323EDB">
        <w:rPr>
          <w:rFonts w:ascii="Times New Roman" w:eastAsia="Times New Roman" w:hAnsi="Times New Roman" w:cs="Times New Roman"/>
          <w:sz w:val="22"/>
          <w:szCs w:val="22"/>
          <w:lang w:val="es-CL"/>
        </w:rPr>
        <w:t xml:space="preserve"> (1998) y Henry (2001b). La autora destaca que los últimos dos trabajos utilizan el dominio </w:t>
      </w:r>
      <w:r w:rsidRPr="00323EDB">
        <w:rPr>
          <w:rFonts w:ascii="Times New Roman" w:eastAsia="Times New Roman" w:hAnsi="Times New Roman" w:cs="Times New Roman"/>
          <w:i/>
          <w:sz w:val="22"/>
          <w:szCs w:val="22"/>
          <w:lang w:val="es-CL"/>
        </w:rPr>
        <w:t>pseudo-concreto</w:t>
      </w:r>
      <w:r w:rsidRPr="00323EDB">
        <w:rPr>
          <w:rFonts w:ascii="Times New Roman" w:eastAsia="Times New Roman" w:hAnsi="Times New Roman" w:cs="Times New Roman"/>
          <w:sz w:val="22"/>
          <w:szCs w:val="22"/>
          <w:lang w:val="es-CL"/>
        </w:rPr>
        <w:t xml:space="preserve"> como parte de un dominio matemático, pero situado en otro paradigma, y la idea de no distinguir solamente entre la realidad y las matemáticas, sino que además considerar las elecciones hechas respecto al modelo en la realidad. Asimismo, la autora afirma que, contrariamente al ciclo de Blum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(2007), todas las etapas propuestas por Henry (2001b) no tienen el mismo estatus, puesto que son caracterizadas como acciones o estados, razón por la cual la autora decide trabajar con el ciclo de modelización de Blum (Blum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2007). </w:t>
      </w:r>
    </w:p>
    <w:p w14:paraId="38C7019F" w14:textId="3191A75E"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Un trabajo propio del ETM, que aborda distintos enfoques de modelización, es el de </w:t>
      </w:r>
      <w:r w:rsidR="00F116A6" w:rsidRPr="00323EDB">
        <w:rPr>
          <w:rFonts w:ascii="Times New Roman" w:eastAsia="Times New Roman" w:hAnsi="Times New Roman" w:cs="Times New Roman"/>
          <w:sz w:val="22"/>
          <w:szCs w:val="22"/>
          <w:lang w:val="es-CL"/>
        </w:rPr>
        <w:t>Nechache</w:t>
      </w:r>
      <w:r w:rsidRPr="00323EDB">
        <w:rPr>
          <w:rFonts w:ascii="Times New Roman" w:eastAsia="Times New Roman" w:hAnsi="Times New Roman" w:cs="Times New Roman"/>
          <w:sz w:val="22"/>
          <w:szCs w:val="22"/>
          <w:lang w:val="es-CL"/>
        </w:rPr>
        <w:t xml:space="preserve"> (2018)</w:t>
      </w:r>
      <w:r w:rsidR="006101DD">
        <w:rPr>
          <w:rFonts w:ascii="Times New Roman" w:eastAsia="Times New Roman" w:hAnsi="Times New Roman" w:cs="Times New Roman"/>
          <w:sz w:val="22"/>
          <w:szCs w:val="22"/>
          <w:lang w:val="es-CL"/>
        </w:rPr>
        <w:t>,</w:t>
      </w:r>
      <w:r w:rsidRPr="00323EDB">
        <w:rPr>
          <w:rFonts w:ascii="Times New Roman" w:eastAsia="Times New Roman" w:hAnsi="Times New Roman" w:cs="Times New Roman"/>
          <w:sz w:val="22"/>
          <w:szCs w:val="22"/>
          <w:lang w:val="es-CL"/>
        </w:rPr>
        <w:t xml:space="preserve"> quien afirma que la resolución de tareas probabilistas, en el contexto de enseñanza secundaria francesa, requiere de la construcción de modelos, implicando la puesta en marcha de diferentes etapas del proceso, induciendo usos o cambios de paradigmas probabilistas (</w:t>
      </w:r>
      <w:proofErr w:type="spellStart"/>
      <w:r w:rsidRPr="00323EDB">
        <w:rPr>
          <w:rFonts w:ascii="Times New Roman" w:eastAsia="Times New Roman" w:hAnsi="Times New Roman" w:cs="Times New Roman"/>
          <w:sz w:val="22"/>
          <w:szCs w:val="22"/>
          <w:lang w:val="es-CL"/>
        </w:rPr>
        <w:t>Parzysz</w:t>
      </w:r>
      <w:proofErr w:type="spellEnd"/>
      <w:r w:rsidRPr="00323EDB">
        <w:rPr>
          <w:rFonts w:ascii="Times New Roman" w:eastAsia="Times New Roman" w:hAnsi="Times New Roman" w:cs="Times New Roman"/>
          <w:sz w:val="22"/>
          <w:szCs w:val="22"/>
          <w:lang w:val="es-CL"/>
        </w:rPr>
        <w:t xml:space="preserve">, 2011) y de dominios (Montoya-Delgadillo y Vivier, 2014). En términos conceptuales, la autora describe un ciclo de modelización adaptado al dominio probabilístico (Nechache, 2016), basado en los enfoques de Kaiser (1995), Blum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(2005) y Borromeo-Ferri (2006), y adaptando a partir de Henry (1999) tres etapas fundamentales del ciclo: descripción de la realidad, matematización, y validación externa. Además, para la primera etapa del ciclo, se observa que es necesario realizar hipótesis basadas en el dominio probabilista y, por lo tanto, la autora hace intervenir el ETM de referencia de dicho dominio previo a la construcción del modelo matemático. En ese sentido, el ETM puede estar presente en las diversas etapas de la modelización, y no solamente a partir del momento en que existe el modelo, razón por la cual creemos necesario considerar otros enfoques teóricos de modelización.</w:t>
      </w:r>
    </w:p>
    <w:p w14:paraId="07086AA1" w14:textId="77777777" w:rsidR="00F663E8" w:rsidRPr="00323EDB" w:rsidRDefault="00F663E8" w:rsidP="007F5308">
      <w:pPr>
        <w:spacing w:after="120"/>
        <w:ind w:firstLine="709"/>
        <w:jc w:val="both"/>
        <w:rPr>
          <w:rFonts w:ascii="Times New Roman" w:eastAsia="Times New Roman" w:hAnsi="Times New Roman" w:cs="Times New Roman"/>
          <w:b/>
          <w:sz w:val="22"/>
          <w:szCs w:val="22"/>
          <w:lang w:val="es-CL"/>
        </w:rPr>
      </w:pPr>
    </w:p>
    <w:p w14:paraId="2974B85C" w14:textId="600A526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Complementariedad entre el ETM y el ciclo de modelización de Blomhøj</w:t>
      </w:r>
    </w:p>
    <w:p w14:paraId="7DD160E2" w14:textId="52BCDB33"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En esta sección trataremos de describir la complementariedad de ambos constructos teóricos, ETM y el ciclo de Blomhøj, sin pretender dar una discusión definitiva, sino más bien con la idea de ampliarla, incluyendo otros alcances de modelizar en el ETM. Para ello, partimos de la base que existen similitudes asociadas al conocimiento teórico, la experiencia y la valoración de los datos (ver Fig. 2), dado que, partiendo de la conceptualización de signos, es posible comenzar a caracterizar las relaciones con el ETM. A continuación, describimos una manera de relacionar cada subproceso, mostrado en la Fig. 2,</w:t>
      </w:r>
      <w:r w:rsidR="00361016">
        <w:rPr>
          <w:rFonts w:ascii="Times New Roman" w:eastAsia="Times New Roman" w:hAnsi="Times New Roman" w:cs="Times New Roman"/>
          <w:sz w:val="22"/>
          <w:szCs w:val="22"/>
          <w:lang w:val="es-CL"/>
        </w:rPr>
        <w:t xml:space="preserve"> con las componentes del ETM, mostradas en la Fig. 1</w:t>
      </w:r>
      <w:r w:rsidRPr="00323EDB">
        <w:rPr>
          <w:rFonts w:ascii="Times New Roman" w:eastAsia="Times New Roman" w:hAnsi="Times New Roman" w:cs="Times New Roman"/>
          <w:sz w:val="22"/>
          <w:szCs w:val="22"/>
          <w:lang w:val="es-CL"/>
        </w:rPr>
        <w:t>.</w:t>
      </w:r>
    </w:p>
    <w:p w14:paraId="6C7A321D"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el subproceso (a), de formulación del problema, intervendrían las islas teoría, experiencia o datos (ver Fig. 2), lo cual no necesariamente implica un trabajo matemático. En el subproceso (b), de sistematización, entra en juego directamente la teoría relativa al dominio del problema, con el fin de formular supuestos e identificar variables y sus posibles relaciones; lo anterior produciría explícita o implícitamente una circulación o desarrollo de razonamiento,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(ver Fig. 1). El proceso (c) de matematización, corresponde al desarrollo de un modelo matemático mediante el cual se construyen fórmulas que relacionan las variables identificadas, cuya construcción utiliza los supuestos y relaciones del paso anterior, activándose varias componentes y génesis del ETM. Específicamente, la circulación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(ver Fig.1), para la interpretación y construcción de los signos y sus relaciones, junto a las correspondientes componentes del plano epistemológico, activándose explícitamente un referencial matemático. En el proceso (d), análisis del sistema matemático, se determinan los resultados, utilizando posiblemente la simulación y la prueba (por ejemplo, de existencia y unicidad de soluciones analíticas y aproximadas del modelo), activándose la circulación en el plano vertical </w:t>
      </w:r>
      <w:proofErr w:type="spellStart"/>
      <w:r w:rsidRPr="00323EDB">
        <w:rPr>
          <w:rFonts w:ascii="Times New Roman" w:eastAsia="Times New Roman" w:hAnsi="Times New Roman" w:cs="Times New Roman"/>
          <w:sz w:val="22"/>
          <w:szCs w:val="22"/>
          <w:lang w:val="es-CL"/>
        </w:rPr>
        <w:t>Ins-Dis</w:t>
      </w:r>
      <w:proofErr w:type="spellEnd"/>
      <w:r w:rsidRPr="00323EDB">
        <w:rPr>
          <w:rFonts w:ascii="Times New Roman" w:eastAsia="Times New Roman" w:hAnsi="Times New Roman" w:cs="Times New Roman"/>
          <w:sz w:val="22"/>
          <w:szCs w:val="22"/>
          <w:lang w:val="es-CL"/>
        </w:rPr>
        <w:t xml:space="preserve">, para la construcción de los resultados y las posibles demostraciones, instrumentadas o no. En el proceso (e), interpretación y evaluación, nuevamente se posiciona una circulación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por ejemplo, visualización y construcción a partir de representamen, tal como un gráfico o tabla de resultados, lo cual podría llevar a un cuestionamiento del proceso (b) de sistematización. La evaluación de los resultados se hace comparándolos con datos o la experiencia, lo cual podría estar relacionado con la génesis discursiva o con procesos algorítmicos activando la génesis instrumental. Por último, el proceso (f) de validación, que tiene estrecha relación con el proceso anterior, tendría la misma conexión con el ETM.</w:t>
      </w:r>
    </w:p>
    <w:p w14:paraId="2A79C51C" w14:textId="0CC1FC8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vista de los antecedentes, y del estudio teórico previo sobre la complementariedad del ciclo de Blomhøj con el ETM, pensamos que </w:t>
      </w:r>
      <w:r w:rsidR="00361016">
        <w:rPr>
          <w:rFonts w:ascii="Times New Roman" w:eastAsia="Times New Roman" w:hAnsi="Times New Roman" w:cs="Times New Roman"/>
          <w:sz w:val="22"/>
          <w:szCs w:val="22"/>
          <w:lang w:val="es-CL"/>
        </w:rPr>
        <w:t>e</w:t>
      </w:r>
      <w:r w:rsidRPr="00323EDB">
        <w:rPr>
          <w:rFonts w:ascii="Times New Roman" w:eastAsia="Times New Roman" w:hAnsi="Times New Roman" w:cs="Times New Roman"/>
          <w:sz w:val="22"/>
          <w:szCs w:val="22"/>
          <w:lang w:val="es-CL"/>
        </w:rPr>
        <w:t xml:space="preserve">ste podría permitir ampliar los análisis de tareas de modelización. Por lo anterior, consideramos </w:t>
      </w:r>
      <w:r w:rsidR="00361016">
        <w:rPr>
          <w:rFonts w:ascii="Times New Roman" w:eastAsia="Times New Roman" w:hAnsi="Times New Roman" w:cs="Times New Roman"/>
          <w:sz w:val="22"/>
          <w:szCs w:val="22"/>
          <w:lang w:val="es-CL"/>
        </w:rPr>
        <w:t xml:space="preserve">el </w:t>
      </w:r>
      <w:r w:rsidRPr="00323EDB">
        <w:rPr>
          <w:rFonts w:ascii="Times New Roman" w:eastAsia="Times New Roman" w:hAnsi="Times New Roman" w:cs="Times New Roman"/>
          <w:sz w:val="22"/>
          <w:szCs w:val="22"/>
          <w:lang w:val="es-CL"/>
        </w:rPr>
        <w:t>estudio</w:t>
      </w:r>
      <w:r w:rsidR="00361016">
        <w:rPr>
          <w:rFonts w:ascii="Times New Roman" w:eastAsia="Times New Roman" w:hAnsi="Times New Roman" w:cs="Times New Roman"/>
          <w:sz w:val="22"/>
          <w:szCs w:val="22"/>
          <w:lang w:val="es-CL"/>
        </w:rPr>
        <w:t xml:space="preserve"> previo</w:t>
      </w:r>
      <w:r w:rsidRPr="00323EDB">
        <w:rPr>
          <w:rFonts w:ascii="Times New Roman" w:eastAsia="Times New Roman" w:hAnsi="Times New Roman" w:cs="Times New Roman"/>
          <w:sz w:val="22"/>
          <w:szCs w:val="22"/>
          <w:lang w:val="es-CL"/>
        </w:rPr>
        <w:t xml:space="preserve"> para investigar la actividad de resolución de una tarea de modelización, </w:t>
      </w:r>
      <w:r w:rsidR="00361016">
        <w:rPr>
          <w:rFonts w:ascii="Times New Roman" w:eastAsia="Times New Roman" w:hAnsi="Times New Roman" w:cs="Times New Roman"/>
          <w:sz w:val="22"/>
          <w:szCs w:val="22"/>
          <w:lang w:val="es-CL"/>
        </w:rPr>
        <w:t xml:space="preserve">que será </w:t>
      </w:r>
      <w:r w:rsidRPr="00323EDB">
        <w:rPr>
          <w:rFonts w:ascii="Times New Roman" w:eastAsia="Times New Roman" w:hAnsi="Times New Roman" w:cs="Times New Roman"/>
          <w:sz w:val="22"/>
          <w:szCs w:val="22"/>
          <w:lang w:val="es-CL"/>
        </w:rPr>
        <w:t xml:space="preserve">presentada en la metodología, </w:t>
      </w:r>
      <w:r w:rsidR="00361016">
        <w:rPr>
          <w:rFonts w:ascii="Times New Roman" w:eastAsia="Times New Roman" w:hAnsi="Times New Roman" w:cs="Times New Roman"/>
          <w:sz w:val="22"/>
          <w:szCs w:val="22"/>
          <w:lang w:val="es-CL"/>
        </w:rPr>
        <w:t>con el fin de tratar de responder a</w:t>
      </w:r>
      <w:r w:rsidRPr="00323EDB">
        <w:rPr>
          <w:rFonts w:ascii="Times New Roman" w:eastAsia="Times New Roman" w:hAnsi="Times New Roman" w:cs="Times New Roman"/>
          <w:sz w:val="22"/>
          <w:szCs w:val="22"/>
          <w:lang w:val="es-CL"/>
        </w:rPr>
        <w:t xml:space="preserve"> l</w:t>
      </w:r>
      <w:r w:rsidR="00361016">
        <w:rPr>
          <w:rFonts w:ascii="Times New Roman" w:eastAsia="Times New Roman" w:hAnsi="Times New Roman" w:cs="Times New Roman"/>
          <w:sz w:val="22"/>
          <w:szCs w:val="22"/>
          <w:lang w:val="es-CL"/>
        </w:rPr>
        <w:t>a</w:t>
      </w:r>
      <w:r w:rsidRPr="00323EDB">
        <w:rPr>
          <w:rFonts w:ascii="Times New Roman" w:eastAsia="Times New Roman" w:hAnsi="Times New Roman" w:cs="Times New Roman"/>
          <w:sz w:val="22"/>
          <w:szCs w:val="22"/>
          <w:lang w:val="es-CL"/>
        </w:rPr>
        <w:t xml:space="preserve"> pregunta ¿cómo se caracteriza la actividad de modelización desde el ETM cuando se interpreta a través del ciclo de Blomhøj en estudiantes de ingeniería? Cabe destacar que existen pocos trabajos que dan elementos de respuesta a esta pregunta, puesto que la literatura se enfoca principalmente en actividades de enseñanza secundaria.</w:t>
      </w:r>
    </w:p>
    <w:p w14:paraId="33276CDC" w14:textId="77777777" w:rsidR="007F5308" w:rsidRPr="00323EDB" w:rsidRDefault="007F5308" w:rsidP="00336767">
      <w:pPr>
        <w:spacing w:after="120"/>
        <w:ind w:firstLine="709"/>
        <w:jc w:val="both"/>
        <w:rPr>
          <w:rFonts w:ascii="Times New Roman" w:eastAsia="Times New Roman" w:hAnsi="Times New Roman" w:cs="Times New Roman"/>
          <w:sz w:val="22"/>
          <w:szCs w:val="22"/>
          <w:lang w:val="es-CL"/>
        </w:rPr>
      </w:pPr>
    </w:p>
    <w:p w14:paraId="0294245E" w14:textId="2268673F" w:rsidR="235DF6B6" w:rsidRPr="00323EDB" w:rsidRDefault="235DF6B6"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MET</w:t>
      </w:r>
      <w:r w:rsidR="00F663E8" w:rsidRPr="00323EDB">
        <w:rPr>
          <w:rFonts w:ascii="Times New Roman" w:eastAsia="Times New Roman" w:hAnsi="Times New Roman" w:cs="Times New Roman"/>
          <w:b/>
          <w:bCs/>
          <w:lang w:val="es-CL"/>
        </w:rPr>
        <w:t>ODOLOGÍA</w:t>
      </w:r>
    </w:p>
    <w:p w14:paraId="52F50D4D" w14:textId="1AAAB6CF" w:rsidR="00F663E8" w:rsidRPr="00323EDB" w:rsidRDefault="00F663E8" w:rsidP="00F663E8">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sz w:val="22"/>
          <w:szCs w:val="22"/>
          <w:lang w:val="es-CL"/>
        </w:rPr>
        <w:t>Esta investigación consider</w:t>
      </w:r>
      <w:r w:rsidR="005A2DA4">
        <w:rPr>
          <w:rFonts w:ascii="Times New Roman" w:eastAsia="Times New Roman" w:hAnsi="Times New Roman" w:cs="Times New Roman"/>
          <w:sz w:val="22"/>
          <w:szCs w:val="22"/>
          <w:lang w:val="es-CL"/>
        </w:rPr>
        <w:t>ó</w:t>
      </w:r>
      <w:r w:rsidRPr="00323EDB">
        <w:rPr>
          <w:rFonts w:ascii="Times New Roman" w:eastAsia="Times New Roman" w:hAnsi="Times New Roman" w:cs="Times New Roman"/>
          <w:sz w:val="22"/>
          <w:szCs w:val="22"/>
          <w:lang w:val="es-CL"/>
        </w:rPr>
        <w:t xml:space="preserve"> dos aspectos metodológicos; primero, el diseño de una tarea basada en un problema </w:t>
      </w:r>
      <w:r w:rsidR="005A2DA4">
        <w:rPr>
          <w:rFonts w:ascii="Times New Roman" w:eastAsia="Times New Roman" w:hAnsi="Times New Roman" w:cs="Times New Roman"/>
          <w:sz w:val="22"/>
          <w:szCs w:val="22"/>
          <w:lang w:val="es-CL"/>
        </w:rPr>
        <w:t xml:space="preserve">de modelización </w:t>
      </w:r>
      <w:r w:rsidRPr="00323EDB">
        <w:rPr>
          <w:rFonts w:ascii="Times New Roman" w:eastAsia="Times New Roman" w:hAnsi="Times New Roman" w:cs="Times New Roman"/>
          <w:sz w:val="22"/>
          <w:szCs w:val="22"/>
          <w:lang w:val="es-CL"/>
        </w:rPr>
        <w:t>con un nivel progresivo de complejidad, por el hecho de provenir del mundo real, demandando una alta capacidad cognitiva para su formulación matemática</w:t>
      </w:r>
      <w:r w:rsidR="005A2DA4">
        <w:rPr>
          <w:rFonts w:ascii="Times New Roman" w:eastAsia="Times New Roman" w:hAnsi="Times New Roman" w:cs="Times New Roman"/>
          <w:sz w:val="22"/>
          <w:szCs w:val="22"/>
          <w:lang w:val="es-CL"/>
        </w:rPr>
        <w:t xml:space="preserve">. Se trata de </w:t>
      </w:r>
      <w:r w:rsidRPr="00323EDB">
        <w:rPr>
          <w:rFonts w:ascii="Times New Roman" w:eastAsia="Times New Roman" w:hAnsi="Times New Roman" w:cs="Times New Roman"/>
          <w:sz w:val="22"/>
          <w:szCs w:val="22"/>
          <w:lang w:val="es-CL"/>
        </w:rPr>
        <w:t xml:space="preserve">un problema de investigación genuino, cuestión que fue mencionada como deseable para las tareas de modelización en el simposio ETM6 (Montoya-Delgadillo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2018) y que es destacado en la propuesta teórica de Blomhøj (2004)</w:t>
      </w:r>
      <w:r w:rsidR="005A2DA4">
        <w:rPr>
          <w:rFonts w:ascii="Times New Roman" w:eastAsia="Times New Roman" w:hAnsi="Times New Roman" w:cs="Times New Roman"/>
          <w:sz w:val="22"/>
          <w:szCs w:val="22"/>
          <w:lang w:val="es-CL"/>
        </w:rPr>
        <w:t>. C</w:t>
      </w:r>
      <w:r w:rsidRPr="00323EDB">
        <w:rPr>
          <w:rFonts w:ascii="Times New Roman" w:eastAsia="Times New Roman" w:hAnsi="Times New Roman" w:cs="Times New Roman"/>
          <w:sz w:val="22"/>
          <w:szCs w:val="22"/>
          <w:lang w:val="es-CL"/>
        </w:rPr>
        <w:t xml:space="preserve">on el fin de caracterizar el trabajo </w:t>
      </w:r>
      <w:r w:rsidR="005A2DA4">
        <w:rPr>
          <w:rFonts w:ascii="Times New Roman" w:eastAsia="Times New Roman" w:hAnsi="Times New Roman" w:cs="Times New Roman"/>
          <w:sz w:val="22"/>
          <w:szCs w:val="22"/>
          <w:lang w:val="es-CL"/>
        </w:rPr>
        <w:t xml:space="preserve">matemático </w:t>
      </w:r>
      <w:r w:rsidRPr="00323EDB">
        <w:rPr>
          <w:rFonts w:ascii="Times New Roman" w:eastAsia="Times New Roman" w:hAnsi="Times New Roman" w:cs="Times New Roman"/>
          <w:sz w:val="22"/>
          <w:szCs w:val="22"/>
          <w:lang w:val="es-CL"/>
        </w:rPr>
        <w:t>de los estudiantes</w:t>
      </w:r>
      <w:r w:rsidR="005263E6">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profundiza</w:t>
      </w:r>
      <w:r w:rsidR="005263E6">
        <w:rPr>
          <w:rFonts w:ascii="Times New Roman" w:eastAsia="Times New Roman" w:hAnsi="Times New Roman" w:cs="Times New Roman"/>
          <w:sz w:val="22"/>
          <w:szCs w:val="22"/>
          <w:lang w:val="es-CL"/>
        </w:rPr>
        <w:t>ndo</w:t>
      </w:r>
      <w:r w:rsidRPr="00323EDB">
        <w:rPr>
          <w:rFonts w:ascii="Times New Roman" w:eastAsia="Times New Roman" w:hAnsi="Times New Roman" w:cs="Times New Roman"/>
          <w:sz w:val="22"/>
          <w:szCs w:val="22"/>
          <w:lang w:val="es-CL"/>
        </w:rPr>
        <w:t xml:space="preserve"> en las ideas y significados del conocimiento (Denzin y Lincoln, 2012)</w:t>
      </w:r>
      <w:r w:rsidR="005A2DA4">
        <w:rPr>
          <w:rFonts w:ascii="Times New Roman" w:eastAsia="Times New Roman" w:hAnsi="Times New Roman" w:cs="Times New Roman"/>
          <w:sz w:val="22"/>
          <w:szCs w:val="22"/>
          <w:lang w:val="es-CL"/>
        </w:rPr>
        <w:t xml:space="preserve">, el </w:t>
      </w:r>
      <w:r w:rsidR="005A2DA4" w:rsidRPr="00323EDB">
        <w:rPr>
          <w:rFonts w:ascii="Times New Roman" w:eastAsia="Times New Roman" w:hAnsi="Times New Roman" w:cs="Times New Roman"/>
          <w:sz w:val="22"/>
          <w:szCs w:val="22"/>
          <w:lang w:val="es-CL"/>
        </w:rPr>
        <w:t>segundo</w:t>
      </w:r>
      <w:r w:rsidR="005A2DA4">
        <w:rPr>
          <w:rFonts w:ascii="Times New Roman" w:eastAsia="Times New Roman" w:hAnsi="Times New Roman" w:cs="Times New Roman"/>
          <w:sz w:val="22"/>
          <w:szCs w:val="22"/>
          <w:lang w:val="es-CL"/>
        </w:rPr>
        <w:t xml:space="preserve"> aspecto metodológico consistió en </w:t>
      </w:r>
      <w:r w:rsidR="005A2DA4" w:rsidRPr="00323EDB">
        <w:rPr>
          <w:rFonts w:ascii="Times New Roman" w:eastAsia="Times New Roman" w:hAnsi="Times New Roman" w:cs="Times New Roman"/>
          <w:sz w:val="22"/>
          <w:szCs w:val="22"/>
          <w:lang w:val="es-CL"/>
        </w:rPr>
        <w:t>un enfoque cualitativo</w:t>
      </w:r>
      <w:r w:rsidRPr="00323EDB">
        <w:rPr>
          <w:rFonts w:ascii="Times New Roman" w:eastAsia="Times New Roman" w:hAnsi="Times New Roman" w:cs="Times New Roman"/>
          <w:sz w:val="22"/>
          <w:szCs w:val="22"/>
          <w:lang w:val="es-CL"/>
        </w:rPr>
        <w:t>. En este sentido, la tarea adquiere una singularidad y complejidad propia, dada la intención de comprender cómo ocurren las</w:t>
      </w:r>
      <w:r w:rsidRPr="00323EDB">
        <w:rPr>
          <w:rFonts w:ascii="Times New Roman" w:hAnsi="Times New Roman" w:cs="Times New Roman"/>
          <w:lang w:val="es-CL"/>
        </w:rPr>
        <w:t xml:space="preserve"> </w:t>
      </w:r>
      <w:r w:rsidRPr="00323EDB">
        <w:rPr>
          <w:rFonts w:ascii="Times New Roman" w:hAnsi="Times New Roman" w:cs="Times New Roman"/>
          <w:sz w:val="22"/>
          <w:szCs w:val="22"/>
          <w:lang w:val="es-CL"/>
        </w:rPr>
        <w:t>circulaciones en el ETM durante el proceso de modelización, definiéndose la parte experimental de la investigación como un estudio de caso instrumental (</w:t>
      </w:r>
      <w:proofErr w:type="spellStart"/>
      <w:r w:rsidRPr="00323EDB">
        <w:rPr>
          <w:rFonts w:ascii="Times New Roman" w:hAnsi="Times New Roman" w:cs="Times New Roman"/>
          <w:sz w:val="22"/>
          <w:szCs w:val="22"/>
          <w:lang w:val="es-CL"/>
        </w:rPr>
        <w:t>Stake</w:t>
      </w:r>
      <w:proofErr w:type="spellEnd"/>
      <w:r w:rsidRPr="00323EDB">
        <w:rPr>
          <w:rFonts w:ascii="Times New Roman" w:hAnsi="Times New Roman" w:cs="Times New Roman"/>
          <w:sz w:val="22"/>
          <w:szCs w:val="22"/>
          <w:lang w:val="es-CL"/>
        </w:rPr>
        <w:t>, 2007). Además, se utilizará la triangulación (Denzin, 1978)</w:t>
      </w:r>
      <w:r w:rsidRPr="00323EDB">
        <w:rPr>
          <w:rFonts w:ascii="Times New Roman" w:hAnsi="Times New Roman" w:cs="Times New Roman"/>
          <w:i/>
          <w:sz w:val="22"/>
          <w:szCs w:val="22"/>
          <w:lang w:val="es-CL"/>
        </w:rPr>
        <w:t xml:space="preserve"> de datos </w:t>
      </w:r>
      <w:r w:rsidRPr="00323EDB">
        <w:rPr>
          <w:rFonts w:ascii="Times New Roman" w:hAnsi="Times New Roman" w:cs="Times New Roman"/>
          <w:iCs/>
          <w:sz w:val="22"/>
          <w:szCs w:val="22"/>
          <w:lang w:val="es-CL"/>
        </w:rPr>
        <w:t xml:space="preserve">y </w:t>
      </w:r>
      <w:r w:rsidRPr="00323EDB">
        <w:rPr>
          <w:rFonts w:ascii="Times New Roman" w:hAnsi="Times New Roman" w:cs="Times New Roman"/>
          <w:i/>
          <w:sz w:val="22"/>
          <w:szCs w:val="22"/>
          <w:lang w:val="es-CL"/>
        </w:rPr>
        <w:t>del investigador</w:t>
      </w:r>
      <w:r w:rsidRPr="00323EDB">
        <w:rPr>
          <w:rFonts w:ascii="Times New Roman" w:hAnsi="Times New Roman" w:cs="Times New Roman"/>
          <w:sz w:val="22"/>
          <w:szCs w:val="22"/>
          <w:lang w:val="es-CL"/>
        </w:rPr>
        <w:t>, dado por la experiencia y formación de los autores, todos especialistas en el ámbito de la matemática y dos de ellos especialistas en didáctica de la matemática.</w:t>
      </w:r>
    </w:p>
    <w:p w14:paraId="09C4D570" w14:textId="2132BD5E" w:rsidR="00F663E8" w:rsidRPr="00323EDB" w:rsidRDefault="00F663E8" w:rsidP="00F663E8">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 tarea propuesta ha sido catalogada como una tarea de modelización por tres académicos (docentes e investigadores), los cuales cuentan con una vasta experiencia en docencia universitaria y que han dictado cursos cálculo por más de tres años. Dichos académicos señalan que el tipo de tarea “guiada” es una práctica comúnmente utilizada en la enseñanza universitaria, dada la gran complejidad cognitiva que demanda su resolución por parte de los estudiantes. En este sentido, cabe señalar que, a lo largo del libro de texto de Stewart (2008), vigente en los programas de cálculo, se fomenta este tipo de tareas de modelización </w:t>
      </w:r>
      <w:r w:rsidR="005263E6">
        <w:rPr>
          <w:rFonts w:ascii="Times New Roman" w:hAnsi="Times New Roman" w:cs="Times New Roman"/>
          <w:sz w:val="22"/>
          <w:szCs w:val="22"/>
          <w:lang w:val="es-CL"/>
        </w:rPr>
        <w:t xml:space="preserve">de problemas </w:t>
      </w:r>
      <w:r w:rsidRPr="00323EDB">
        <w:rPr>
          <w:rFonts w:ascii="Times New Roman" w:hAnsi="Times New Roman" w:cs="Times New Roman"/>
          <w:sz w:val="22"/>
          <w:szCs w:val="22"/>
          <w:lang w:val="es-CL"/>
        </w:rPr>
        <w:t>genuin</w:t>
      </w:r>
      <w:r w:rsidR="005263E6">
        <w:rPr>
          <w:rFonts w:ascii="Times New Roman" w:hAnsi="Times New Roman" w:cs="Times New Roman"/>
          <w:sz w:val="22"/>
          <w:szCs w:val="22"/>
          <w:lang w:val="es-CL"/>
        </w:rPr>
        <w:t>os</w:t>
      </w:r>
      <w:r w:rsidRPr="00323EDB">
        <w:rPr>
          <w:rFonts w:ascii="Times New Roman" w:hAnsi="Times New Roman" w:cs="Times New Roman"/>
          <w:sz w:val="22"/>
          <w:szCs w:val="22"/>
          <w:lang w:val="es-CL"/>
        </w:rPr>
        <w:t>, solicitando una resolución computacional mediante software, suponiendo que el estudiante tiene acceso a alguno. Cabe destacar que este clásico libro de cálculo les atribuye gran importancia a los modelos, vistos como aplicaciones de las funciones, en particular, a la dinámica de crecimiento de poblaciones (secciones 1.2, 1.4, 1.5-1.6, 2.8, 3.4, 3.7, 3.8, 4.3, 4.9, 9.1, 9.4, 9.6, 11.1), tema de la tarea propuesta en este trabajo.</w:t>
      </w:r>
    </w:p>
    <w:p w14:paraId="1F69ABE4" w14:textId="7A1DE831" w:rsidR="002A3098" w:rsidRPr="00323EDB" w:rsidRDefault="00F663E8" w:rsidP="002A3098">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 experimentación consistió en </w:t>
      </w:r>
      <w:r w:rsidR="00C4629C" w:rsidRPr="00323EDB">
        <w:rPr>
          <w:rFonts w:ascii="Times New Roman" w:hAnsi="Times New Roman" w:cs="Times New Roman"/>
          <w:sz w:val="22"/>
          <w:szCs w:val="22"/>
          <w:lang w:val="es-CL"/>
        </w:rPr>
        <w:t xml:space="preserve">solicitar la </w:t>
      </w:r>
      <w:r w:rsidR="005263E6">
        <w:rPr>
          <w:rFonts w:ascii="Times New Roman" w:hAnsi="Times New Roman" w:cs="Times New Roman"/>
          <w:sz w:val="22"/>
          <w:szCs w:val="22"/>
          <w:lang w:val="es-CL"/>
        </w:rPr>
        <w:t>resolución</w:t>
      </w:r>
      <w:r w:rsidR="00C4629C" w:rsidRPr="00323EDB">
        <w:rPr>
          <w:rFonts w:ascii="Times New Roman" w:hAnsi="Times New Roman" w:cs="Times New Roman"/>
          <w:sz w:val="22"/>
          <w:szCs w:val="22"/>
          <w:lang w:val="es-CL"/>
        </w:rPr>
        <w:t xml:space="preserve"> escrita </w:t>
      </w:r>
      <w:r w:rsidR="005263E6">
        <w:rPr>
          <w:rFonts w:ascii="Times New Roman" w:hAnsi="Times New Roman" w:cs="Times New Roman"/>
          <w:sz w:val="22"/>
          <w:szCs w:val="22"/>
          <w:lang w:val="es-CL"/>
        </w:rPr>
        <w:t xml:space="preserve">e </w:t>
      </w:r>
      <w:r w:rsidRPr="00323EDB">
        <w:rPr>
          <w:rFonts w:ascii="Times New Roman" w:hAnsi="Times New Roman" w:cs="Times New Roman"/>
          <w:sz w:val="22"/>
          <w:szCs w:val="22"/>
          <w:lang w:val="es-CL"/>
        </w:rPr>
        <w:t xml:space="preserve">individual </w:t>
      </w:r>
      <w:r w:rsidR="00C4629C" w:rsidRPr="00323EDB">
        <w:rPr>
          <w:rFonts w:ascii="Times New Roman" w:hAnsi="Times New Roman" w:cs="Times New Roman"/>
          <w:sz w:val="22"/>
          <w:szCs w:val="22"/>
          <w:lang w:val="es-CL"/>
        </w:rPr>
        <w:t>a</w:t>
      </w:r>
      <w:r w:rsidRPr="00323EDB">
        <w:rPr>
          <w:rFonts w:ascii="Times New Roman" w:hAnsi="Times New Roman" w:cs="Times New Roman"/>
          <w:sz w:val="22"/>
          <w:szCs w:val="22"/>
          <w:lang w:val="es-CL"/>
        </w:rPr>
        <w:t xml:space="preserve"> un curso de 31 estudiantes de segundo año de la carrera de Ingeniería Civil Informática en una universidad pública del estado de Chile,</w:t>
      </w:r>
      <w:r w:rsidR="00513F3F"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recogidas al final de una sesión de 90 minutos.  Para efectos de nuestro estudio </w:t>
      </w:r>
      <w:r w:rsidR="002A3098" w:rsidRPr="00323EDB">
        <w:rPr>
          <w:rFonts w:ascii="Times New Roman" w:hAnsi="Times New Roman" w:cs="Times New Roman"/>
          <w:sz w:val="22"/>
          <w:szCs w:val="22"/>
          <w:lang w:val="es-CL"/>
        </w:rPr>
        <w:t xml:space="preserve">hemos seleccionado un sujeto para nuestros análisis, al cual llamaremos Juan, cuya producción </w:t>
      </w:r>
      <w:r w:rsidR="00D97485" w:rsidRPr="00323EDB">
        <w:rPr>
          <w:rFonts w:ascii="Times New Roman" w:hAnsi="Times New Roman" w:cs="Times New Roman"/>
          <w:sz w:val="22"/>
          <w:szCs w:val="22"/>
          <w:lang w:val="es-CL"/>
        </w:rPr>
        <w:t xml:space="preserve">escrita </w:t>
      </w:r>
      <w:r w:rsidR="002A3098" w:rsidRPr="00323EDB">
        <w:rPr>
          <w:rFonts w:ascii="Times New Roman" w:hAnsi="Times New Roman" w:cs="Times New Roman"/>
          <w:sz w:val="22"/>
          <w:szCs w:val="22"/>
          <w:lang w:val="es-CL"/>
        </w:rPr>
        <w:t>es representativa (Yin, 2018) del resto de los estudiantes.</w:t>
      </w:r>
    </w:p>
    <w:p w14:paraId="33F3FE6E" w14:textId="5A3F4A24" w:rsidR="002A3098" w:rsidRPr="00323EDB" w:rsidRDefault="00D97485" w:rsidP="002A3098">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Con el fin de reducir, organizar y dar significado a datos </w:t>
      </w:r>
      <w:r w:rsidR="006C36EB" w:rsidRPr="00323EDB">
        <w:rPr>
          <w:rFonts w:ascii="Times New Roman" w:hAnsi="Times New Roman" w:cs="Times New Roman"/>
          <w:sz w:val="22"/>
          <w:szCs w:val="22"/>
          <w:lang w:val="es-CL"/>
        </w:rPr>
        <w:t>cualitativos, hemos</w:t>
      </w:r>
      <w:r w:rsidR="002A3098" w:rsidRPr="00323EDB">
        <w:rPr>
          <w:rFonts w:ascii="Times New Roman" w:hAnsi="Times New Roman" w:cs="Times New Roman"/>
          <w:sz w:val="22"/>
          <w:szCs w:val="22"/>
          <w:lang w:val="es-CL"/>
        </w:rPr>
        <w:t xml:space="preserve"> considerado</w:t>
      </w:r>
      <w:r w:rsidRPr="00323EDB">
        <w:rPr>
          <w:rFonts w:ascii="Times New Roman" w:hAnsi="Times New Roman" w:cs="Times New Roman"/>
          <w:sz w:val="22"/>
          <w:szCs w:val="22"/>
          <w:lang w:val="es-CL"/>
        </w:rPr>
        <w:t>, de acuerdo con</w:t>
      </w:r>
      <w:r w:rsidR="002A3098" w:rsidRPr="00323EDB">
        <w:rPr>
          <w:rFonts w:ascii="Times New Roman" w:hAnsi="Times New Roman" w:cs="Times New Roman"/>
          <w:sz w:val="22"/>
          <w:szCs w:val="22"/>
          <w:lang w:val="es-CL"/>
        </w:rPr>
        <w:t xml:space="preserve"> Burns y Grove (2004), </w:t>
      </w:r>
      <w:r w:rsidRPr="00323EDB">
        <w:rPr>
          <w:rFonts w:ascii="Times New Roman" w:hAnsi="Times New Roman" w:cs="Times New Roman"/>
          <w:sz w:val="22"/>
          <w:szCs w:val="22"/>
          <w:lang w:val="es-CL"/>
        </w:rPr>
        <w:t>tres etapas de análisis de la producción escrita de Juan</w:t>
      </w:r>
      <w:r w:rsidR="002A3098" w:rsidRPr="00323EDB">
        <w:rPr>
          <w:rFonts w:ascii="Times New Roman" w:hAnsi="Times New Roman" w:cs="Times New Roman"/>
          <w:sz w:val="22"/>
          <w:szCs w:val="22"/>
          <w:lang w:val="es-CL"/>
        </w:rPr>
        <w:t>: descripción, análisis e interpretación.</w:t>
      </w:r>
    </w:p>
    <w:p w14:paraId="32748912" w14:textId="77777777" w:rsidR="002A3098" w:rsidRPr="00323EDB" w:rsidRDefault="002A3098" w:rsidP="002A3098">
      <w:pPr>
        <w:pBdr>
          <w:top w:val="none" w:sz="0" w:space="0" w:color="000000"/>
          <w:left w:val="none" w:sz="0" w:space="0" w:color="000000"/>
          <w:bottom w:val="none" w:sz="0" w:space="0" w:color="000000"/>
          <w:right w:val="none" w:sz="0" w:space="0" w:color="000000"/>
        </w:pBdr>
        <w:spacing w:after="240"/>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La tarea propuesta a los estudiantes es la siguiente:</w:t>
      </w:r>
    </w:p>
    <w:p w14:paraId="3BBB397A" w14:textId="6B361893" w:rsidR="002A3098" w:rsidRPr="00936AF9" w:rsidRDefault="00A4327B" w:rsidP="00936AF9">
      <w:pPr>
        <w:spacing w:after="120"/>
        <w:ind w:firstLine="709"/>
        <w:rPr>
          <w:rFonts w:ascii="Times New Roman" w:eastAsia="Times New Roman" w:hAnsi="Times New Roman" w:cs="Times New Roman"/>
          <w:b/>
          <w:bCs/>
          <w:sz w:val="22"/>
          <w:szCs w:val="22"/>
        </w:rPr>
      </w:pPr>
      <w:proofErr w:type="spellStart"/>
      <w:r>
        <w:rPr>
          <w:rFonts w:ascii="Times New Roman" w:eastAsia="Times New Roman" w:hAnsi="Times New Roman" w:cs="Times New Roman"/>
          <w:b/>
          <w:bCs/>
          <w:sz w:val="22"/>
          <w:szCs w:val="22"/>
        </w:rPr>
        <w:t>Tabla</w:t>
      </w:r>
      <w:proofErr w:type="spellEnd"/>
      <w:r>
        <w:rPr>
          <w:rFonts w:ascii="Times New Roman" w:eastAsia="Times New Roman" w:hAnsi="Times New Roman" w:cs="Times New Roman"/>
          <w:b/>
          <w:bCs/>
          <w:sz w:val="22"/>
          <w:szCs w:val="22"/>
        </w:rPr>
        <w:t xml:space="preserve"> </w:t>
      </w:r>
      <w:r w:rsidR="002A3098" w:rsidRPr="00936AF9">
        <w:rPr>
          <w:rFonts w:ascii="Times New Roman" w:eastAsia="Times New Roman" w:hAnsi="Times New Roman" w:cs="Times New Roman"/>
          <w:b/>
          <w:bCs/>
          <w:sz w:val="22"/>
          <w:szCs w:val="22"/>
        </w:rPr>
        <w:t>1</w:t>
      </w:r>
    </w:p>
    <w:p w14:paraId="1898D12B" w14:textId="77777777" w:rsidR="002A3098" w:rsidRPr="00936AF9" w:rsidRDefault="002A3098" w:rsidP="00936AF9">
      <w:pPr>
        <w:spacing w:after="120"/>
        <w:ind w:firstLine="709"/>
        <w:rPr>
          <w:rFonts w:ascii="Times New Roman" w:eastAsia="Times New Roman" w:hAnsi="Times New Roman" w:cs="Times New Roman"/>
          <w:bCs/>
          <w:i/>
          <w:sz w:val="22"/>
          <w:szCs w:val="22"/>
        </w:rPr>
      </w:pPr>
      <w:r w:rsidRPr="00936AF9">
        <w:rPr>
          <w:rFonts w:ascii="Times New Roman" w:eastAsia="Times New Roman" w:hAnsi="Times New Roman" w:cs="Times New Roman"/>
          <w:bCs/>
          <w:i/>
          <w:sz w:val="22"/>
          <w:szCs w:val="22"/>
        </w:rPr>
        <w:t xml:space="preserve"> Tarea de modelización.</w:t>
      </w:r>
    </w:p>
    <w:tbl>
      <w:tblPr>
        <w:tblStyle w:val="Tablanormal2"/>
        <w:tblW w:w="0" w:type="auto"/>
        <w:tblLook w:val="04A0" w:firstRow="1" w:lastRow="0" w:firstColumn="1" w:lastColumn="0" w:noHBand="0" w:noVBand="1"/>
      </w:tblPr>
      <w:tblGrid>
        <w:gridCol w:w="2830"/>
        <w:gridCol w:w="4070"/>
      </w:tblGrid>
      <w:tr w:rsidR="00936AF9" w:rsidRPr="004E0715" w14:paraId="7BE94EB4" w14:textId="77777777" w:rsidTr="00936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E4F8884" w14:textId="290FA645" w:rsidR="00936AF9" w:rsidRPr="00936AF9" w:rsidRDefault="00936AF9" w:rsidP="00F663E8">
            <w:pPr>
              <w:spacing w:after="240"/>
              <w:jc w:val="both"/>
              <w:rPr>
                <w:rFonts w:ascii="Times New Roman" w:hAnsi="Times New Roman" w:cs="Times New Roman"/>
                <w:b w:val="0"/>
                <w:sz w:val="20"/>
                <w:szCs w:val="20"/>
                <w:lang w:val="es-CL"/>
              </w:rPr>
            </w:pPr>
            <w:r w:rsidRPr="00936AF9">
              <w:rPr>
                <w:rFonts w:ascii="Times New Roman" w:hAnsi="Times New Roman" w:cs="Times New Roman"/>
                <w:noProof/>
                <w:sz w:val="20"/>
                <w:szCs w:val="20"/>
                <w:lang w:val="es-CL" w:eastAsia="es-CL" w:bidi="ar-SA"/>
              </w:rPr>
              <w:drawing>
                <wp:anchor distT="0" distB="0" distL="114300" distR="114300" simplePos="0" relativeHeight="251659264" behindDoc="0" locked="0" layoutInCell="1" allowOverlap="1" wp14:anchorId="586A7A7C" wp14:editId="07E9C396">
                  <wp:simplePos x="0" y="0"/>
                  <wp:positionH relativeFrom="column">
                    <wp:posOffset>0</wp:posOffset>
                  </wp:positionH>
                  <wp:positionV relativeFrom="paragraph">
                    <wp:posOffset>299720</wp:posOffset>
                  </wp:positionV>
                  <wp:extent cx="1225550" cy="1848485"/>
                  <wp:effectExtent l="0" t="0" r="0" b="0"/>
                  <wp:wrapTight wrapText="bothSides">
                    <wp:wrapPolygon edited="0">
                      <wp:start x="0" y="0"/>
                      <wp:lineTo x="0" y="21370"/>
                      <wp:lineTo x="21152" y="21370"/>
                      <wp:lineTo x="21152"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1848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D66A9E" w14:textId="77777777" w:rsidR="00936AF9" w:rsidRPr="00936AF9" w:rsidRDefault="00936AF9" w:rsidP="00F663E8">
            <w:pPr>
              <w:spacing w:after="240"/>
              <w:jc w:val="both"/>
              <w:rPr>
                <w:rFonts w:ascii="Times New Roman" w:hAnsi="Times New Roman" w:cs="Times New Roman"/>
                <w:b w:val="0"/>
                <w:sz w:val="20"/>
                <w:szCs w:val="20"/>
                <w:lang w:val="es-CL"/>
              </w:rPr>
            </w:pPr>
          </w:p>
          <w:p w14:paraId="0807A9F4" w14:textId="77777777" w:rsidR="00936AF9" w:rsidRPr="00936AF9" w:rsidRDefault="00936AF9" w:rsidP="00F663E8">
            <w:pPr>
              <w:spacing w:after="240"/>
              <w:jc w:val="both"/>
              <w:rPr>
                <w:rFonts w:ascii="Times New Roman" w:hAnsi="Times New Roman" w:cs="Times New Roman"/>
                <w:b w:val="0"/>
                <w:sz w:val="20"/>
                <w:szCs w:val="20"/>
                <w:lang w:val="es-CL"/>
              </w:rPr>
            </w:pPr>
          </w:p>
          <w:p w14:paraId="7A087A2A" w14:textId="77777777" w:rsidR="00936AF9" w:rsidRPr="00936AF9" w:rsidRDefault="00936AF9" w:rsidP="00F663E8">
            <w:pPr>
              <w:spacing w:after="240"/>
              <w:jc w:val="both"/>
              <w:rPr>
                <w:rFonts w:ascii="Times New Roman" w:hAnsi="Times New Roman" w:cs="Times New Roman"/>
                <w:b w:val="0"/>
                <w:sz w:val="20"/>
                <w:szCs w:val="20"/>
                <w:lang w:val="es-CL"/>
              </w:rPr>
            </w:pPr>
          </w:p>
          <w:p w14:paraId="6744664E" w14:textId="77777777" w:rsidR="00936AF9" w:rsidRPr="00936AF9" w:rsidRDefault="00936AF9" w:rsidP="00F663E8">
            <w:pPr>
              <w:spacing w:after="240"/>
              <w:jc w:val="both"/>
              <w:rPr>
                <w:rFonts w:ascii="Times New Roman" w:hAnsi="Times New Roman" w:cs="Times New Roman"/>
                <w:b w:val="0"/>
                <w:sz w:val="20"/>
                <w:szCs w:val="20"/>
                <w:lang w:val="es-CL"/>
              </w:rPr>
            </w:pPr>
          </w:p>
          <w:p w14:paraId="473953F9" w14:textId="77777777" w:rsidR="00936AF9" w:rsidRPr="00936AF9" w:rsidRDefault="00936AF9" w:rsidP="00F663E8">
            <w:pPr>
              <w:spacing w:after="240"/>
              <w:jc w:val="both"/>
              <w:rPr>
                <w:rFonts w:ascii="Times New Roman" w:hAnsi="Times New Roman" w:cs="Times New Roman"/>
                <w:b w:val="0"/>
                <w:sz w:val="20"/>
                <w:szCs w:val="20"/>
                <w:lang w:val="es-CL"/>
              </w:rPr>
            </w:pPr>
          </w:p>
          <w:p w14:paraId="1BC7EBE9" w14:textId="77777777" w:rsidR="00936AF9" w:rsidRPr="00936AF9" w:rsidRDefault="00936AF9" w:rsidP="00F663E8">
            <w:pPr>
              <w:spacing w:after="240"/>
              <w:jc w:val="both"/>
              <w:rPr>
                <w:rFonts w:ascii="Times New Roman" w:hAnsi="Times New Roman" w:cs="Times New Roman"/>
                <w:b w:val="0"/>
                <w:sz w:val="20"/>
                <w:szCs w:val="20"/>
                <w:lang w:val="es-CL"/>
              </w:rPr>
            </w:pPr>
          </w:p>
          <w:p w14:paraId="4C9E4509" w14:textId="77777777" w:rsidR="00936AF9" w:rsidRPr="00936AF9" w:rsidRDefault="00936AF9" w:rsidP="00F663E8">
            <w:pPr>
              <w:spacing w:after="240"/>
              <w:jc w:val="both"/>
              <w:rPr>
                <w:rFonts w:ascii="Times New Roman" w:hAnsi="Times New Roman" w:cs="Times New Roman"/>
                <w:b w:val="0"/>
                <w:sz w:val="20"/>
                <w:szCs w:val="20"/>
                <w:lang w:val="es-CL"/>
              </w:rPr>
            </w:pPr>
          </w:p>
          <w:p w14:paraId="7A78ABA9" w14:textId="5FB20CB4" w:rsidR="00936AF9" w:rsidRPr="00936AF9" w:rsidRDefault="00936AF9" w:rsidP="00F663E8">
            <w:pPr>
              <w:spacing w:after="240"/>
              <w:jc w:val="both"/>
              <w:rPr>
                <w:rFonts w:ascii="Times New Roman" w:hAnsi="Times New Roman" w:cs="Times New Roman"/>
                <w:b w:val="0"/>
                <w:sz w:val="22"/>
                <w:szCs w:val="22"/>
                <w:lang w:val="es-CL"/>
              </w:rPr>
            </w:pPr>
            <w:r w:rsidRPr="00936AF9">
              <w:rPr>
                <w:rFonts w:ascii="Times New Roman" w:hAnsi="Times New Roman" w:cs="Times New Roman"/>
                <w:b w:val="0"/>
                <w:sz w:val="20"/>
                <w:szCs w:val="20"/>
                <w:lang w:val="es-CL"/>
              </w:rPr>
              <w:t>Tabla A. Datos de la población</w:t>
            </w:r>
          </w:p>
        </w:tc>
        <w:tc>
          <w:tcPr>
            <w:tcW w:w="4070" w:type="dxa"/>
          </w:tcPr>
          <w:p w14:paraId="4BB779FF" w14:textId="77777777" w:rsidR="00936AF9" w:rsidRPr="00936AF9" w:rsidRDefault="00936AF9" w:rsidP="00936A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Se sabe que en las últimas 3 décadas la población ha ido envejeciendo y que la tasa de natalidad ha ido disminuyendo progresivamente. La tabla siguiente muestra la evolución de la población entre los años 1907 y 2017, obtenida a partir de la información recopilada en los censos efectuados aproximadamente cada 10 años (Compendio Estadístico, 2018). </w:t>
            </w:r>
          </w:p>
          <w:p w14:paraId="58D003AD" w14:textId="77777777" w:rsidR="00936AF9" w:rsidRPr="00936AF9" w:rsidRDefault="00936AF9" w:rsidP="00936A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El objetivo de este problema es predecir el crecimiento de la población a partir del año 2017, o estimarlo entre medio de los valores medidos en los censos. Para lo anterior, trataremos de establecer una fórmula general que modele el crecimiento de la población como función del tiempo. Comenzaremos analizando el modelo más simple de crecimiento de una población. Supondremos que:</w:t>
            </w:r>
          </w:p>
          <w:p w14:paraId="3F29EE19" w14:textId="77777777" w:rsidR="00936AF9" w:rsidRPr="00936AF9" w:rsidRDefault="00936AF9" w:rsidP="00936AF9">
            <w:pPr>
              <w:pBdr>
                <w:top w:val="none" w:sz="0" w:space="0" w:color="000000"/>
                <w:left w:val="none" w:sz="0" w:space="0" w:color="000000"/>
                <w:bottom w:val="none" w:sz="0" w:space="0" w:color="000000"/>
                <w:right w:val="none" w:sz="0" w:space="0" w:color="000000"/>
              </w:pBdr>
              <w:ind w:left="454" w:hanging="45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(H1) La tasa de crecimiento relativo de la población permanece constante (es independiente del tamaño de la población). </w:t>
            </w:r>
          </w:p>
          <w:p w14:paraId="025E6F87" w14:textId="04F58F63" w:rsidR="00936AF9" w:rsidRPr="00936AF9" w:rsidRDefault="00936AF9" w:rsidP="00936AF9">
            <w:pPr>
              <w:pBdr>
                <w:top w:val="none" w:sz="0" w:space="0" w:color="000000"/>
                <w:left w:val="none" w:sz="0" w:space="0" w:color="000000"/>
                <w:bottom w:val="none" w:sz="0" w:space="0" w:color="000000"/>
                <w:right w:val="none" w:sz="0" w:space="0" w:color="000000"/>
              </w:pBdr>
              <w:ind w:left="454" w:hanging="45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(H2) Los individuos se reproducen sólo una vez cada cierto periodo de tiempo (por ejemplo, cada década para tomar en cuenta la disponibilidad de datos). </w:t>
            </w:r>
          </w:p>
        </w:tc>
      </w:tr>
      <w:tr w:rsidR="00936AF9" w:rsidRPr="004E0715" w14:paraId="54D0F514" w14:textId="77777777" w:rsidTr="00936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0" w:type="dxa"/>
            <w:gridSpan w:val="2"/>
          </w:tcPr>
          <w:p w14:paraId="58EAAE43"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Mediremos el tiempo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en unidades de generación (periodo de tiempo entre una generación y la siguiente, por ejemplo, una década). Denotemos por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el número de individuos de la población en la generación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de modo que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designará el número de individuos de la población en la generación siguiente,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De acuerdo con el supuesto (H2), no existe reproducción de la población entre los periodos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y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En consecuencia, la fórmula más general para describir el crecimiento de la población entre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es del tipo siguiente: </w:t>
            </w:r>
          </w:p>
          <w:p w14:paraId="3E2C1529" w14:textId="77777777" w:rsidR="00936AF9" w:rsidRPr="00936AF9" w:rsidRDefault="00936AF9" w:rsidP="00936AF9">
            <w:pPr>
              <w:pBdr>
                <w:top w:val="none" w:sz="0" w:space="0" w:color="000000"/>
                <w:left w:val="none" w:sz="0" w:space="0" w:color="000000"/>
                <w:bottom w:val="none" w:sz="0" w:space="0" w:color="000000"/>
                <w:right w:val="none" w:sz="0" w:space="0" w:color="000000"/>
              </w:pBdr>
              <w:jc w:val="center"/>
              <w:rPr>
                <w:rFonts w:ascii="Times New Roman" w:hAnsi="Times New Roman" w:cs="Times New Roman"/>
                <w:b w:val="0"/>
                <w:sz w:val="20"/>
                <w:szCs w:val="20"/>
                <w:lang w:val="es-CL"/>
              </w:rPr>
            </w:pP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proofErr w:type="gramStart"/>
            <w:r w:rsidRPr="00936AF9">
              <w:rPr>
                <w:rFonts w:ascii="Times New Roman" w:hAnsi="Times New Roman" w:cs="Times New Roman"/>
                <w:b w:val="0"/>
                <w:sz w:val="20"/>
                <w:szCs w:val="20"/>
                <w:lang w:val="es-CL"/>
              </w:rPr>
              <w:t xml:space="preserve">),   </w:t>
            </w:r>
            <w:proofErr w:type="gramEnd"/>
            <w:r w:rsidRPr="00936AF9">
              <w:rPr>
                <w:rFonts w:ascii="Times New Roman" w:hAnsi="Times New Roman" w:cs="Times New Roman"/>
                <w:b w:val="0"/>
                <w:sz w:val="20"/>
                <w:szCs w:val="20"/>
                <w:lang w:val="es-CL"/>
              </w:rPr>
              <w:t xml:space="preserve">      para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0, 1, 2, . . . , (1)</w:t>
            </w:r>
          </w:p>
          <w:p w14:paraId="3C34910C"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donde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 xml:space="preserve"> es alguna función que determina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+1</w:t>
            </w:r>
            <w:r w:rsidRPr="00936AF9">
              <w:rPr>
                <w:rFonts w:ascii="Times New Roman" w:hAnsi="Times New Roman" w:cs="Times New Roman"/>
                <w:b w:val="0"/>
                <w:sz w:val="20"/>
                <w:szCs w:val="20"/>
                <w:lang w:val="es-CL"/>
              </w:rPr>
              <w:t xml:space="preserve">) a partir del número de individuos que había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Típicamente, para encontrar una expresión apropiada para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 xml:space="preserve"> se usa la tasa de crecimiento relativo de la población, es decir, la diferencia entre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y la cantidad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dividido por la cantidad en el periodo</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(o el cociente de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y la cantidad en el periodo</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menos 1), o sea:</w:t>
            </w:r>
          </w:p>
          <w:p w14:paraId="47AD5A51" w14:textId="77777777" w:rsidR="00936AF9" w:rsidRPr="00936AF9" w:rsidRDefault="00936AF9" w:rsidP="00936AF9">
            <w:pPr>
              <w:pBdr>
                <w:top w:val="none" w:sz="0" w:space="0" w:color="000000"/>
                <w:left w:val="none" w:sz="0" w:space="0" w:color="000000"/>
                <w:bottom w:val="none" w:sz="0" w:space="0" w:color="000000"/>
                <w:right w:val="none" w:sz="0" w:space="0" w:color="000000"/>
              </w:pBdr>
              <w:jc w:val="center"/>
              <w:rPr>
                <w:rFonts w:ascii="Times New Roman" w:hAnsi="Times New Roman" w:cs="Times New Roman"/>
                <w:b w:val="0"/>
                <w:sz w:val="20"/>
                <w:szCs w:val="20"/>
                <w:lang w:val="es-CL"/>
              </w:rPr>
            </w:pPr>
            <w:r w:rsidRPr="00936AF9">
              <w:rPr>
                <w:rFonts w:ascii="Times New Roman" w:hAnsi="Times New Roman" w:cs="Times New Roman"/>
                <w:b w:val="0"/>
                <w:bCs w:val="0"/>
                <w:position w:val="-19"/>
                <w:sz w:val="20"/>
                <w:szCs w:val="20"/>
                <w:lang w:val="es-CL"/>
              </w:rPr>
              <w:object w:dxaOrig="2165" w:dyaOrig="637" w14:anchorId="7459B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5pt;height:31.9pt" o:ole="" filled="t">
                  <v:fill color2="black"/>
                  <v:imagedata r:id="rId11" o:title=""/>
                </v:shape>
                <o:OLEObject Type="Embed" ProgID="Equation.3" ShapeID="_x0000_i1025" DrawAspect="Content" ObjectID="_1713276735" r:id="rId12"/>
              </w:object>
            </w:r>
            <w:r w:rsidRPr="00936AF9">
              <w:rPr>
                <w:rFonts w:ascii="Times New Roman" w:hAnsi="Times New Roman" w:cs="Times New Roman"/>
                <w:b w:val="0"/>
                <w:sz w:val="20"/>
                <w:szCs w:val="20"/>
                <w:lang w:val="es-CL"/>
              </w:rPr>
              <w:t xml:space="preserve">                          (2)</w:t>
            </w:r>
          </w:p>
          <w:p w14:paraId="606EB0E9"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vertAlign w:val="subscript"/>
                <w:lang w:val="es-CL"/>
              </w:rPr>
              <w:t xml:space="preserve"> </w:t>
            </w:r>
            <w:r w:rsidRPr="00936AF9">
              <w:rPr>
                <w:rFonts w:ascii="Times New Roman" w:hAnsi="Times New Roman" w:cs="Times New Roman"/>
                <w:b w:val="0"/>
                <w:sz w:val="20"/>
                <w:szCs w:val="20"/>
                <w:lang w:val="es-CL"/>
              </w:rPr>
              <w:t xml:space="preserve">&gt; 0 significa que la población crece entre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 el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+ 1;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&lt; 0 significa que la población decrece entre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+ 1; mientras que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vertAlign w:val="subscript"/>
                <w:lang w:val="es-CL"/>
              </w:rPr>
              <w:t xml:space="preserve"> </w:t>
            </w:r>
            <w:r w:rsidRPr="00936AF9">
              <w:rPr>
                <w:rFonts w:ascii="Times New Roman" w:hAnsi="Times New Roman" w:cs="Times New Roman"/>
                <w:b w:val="0"/>
                <w:sz w:val="20"/>
                <w:szCs w:val="20"/>
                <w:lang w:val="es-CL"/>
              </w:rPr>
              <w:t>= 0 significa que la población se mantuvo constante entre</w:t>
            </w:r>
            <w:r w:rsidRPr="00936AF9">
              <w:rPr>
                <w:rFonts w:ascii="Times New Roman" w:hAnsi="Times New Roman" w:cs="Times New Roman"/>
                <w:b w:val="0"/>
                <w:i/>
                <w:sz w:val="20"/>
                <w:szCs w:val="20"/>
                <w:lang w:val="es-CL"/>
              </w:rPr>
              <w:t xml:space="preserve"> k </w:t>
            </w:r>
            <w:r w:rsidRPr="00936AF9">
              <w:rPr>
                <w:rFonts w:ascii="Times New Roman" w:hAnsi="Times New Roman" w:cs="Times New Roman"/>
                <w:b w:val="0"/>
                <w:sz w:val="20"/>
                <w:szCs w:val="20"/>
                <w:lang w:val="es-CL"/>
              </w:rPr>
              <w:t>y</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+ 1.</w:t>
            </w:r>
          </w:p>
          <w:p w14:paraId="1185D288"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Encontrando una relación apropiada entre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i/>
                <w:sz w:val="20"/>
                <w:szCs w:val="20"/>
                <w:lang w:val="es-CL"/>
              </w:rPr>
              <w:t xml:space="preserve"> </w:t>
            </w:r>
            <w:r w:rsidRPr="00936AF9">
              <w:rPr>
                <w:rFonts w:ascii="Times New Roman" w:hAnsi="Times New Roman" w:cs="Times New Roman"/>
                <w:b w:val="0"/>
                <w:sz w:val="20"/>
                <w:szCs w:val="20"/>
                <w:lang w:val="es-CL"/>
              </w:rPr>
              <w:t xml:space="preserve">y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se puede obtener </w:t>
            </w:r>
            <w:r w:rsidRPr="00936AF9">
              <w:rPr>
                <w:rFonts w:ascii="Times New Roman" w:hAnsi="Times New Roman" w:cs="Times New Roman"/>
                <w:b w:val="0"/>
                <w:i/>
                <w:sz w:val="20"/>
                <w:szCs w:val="20"/>
                <w:lang w:val="es-CL"/>
              </w:rPr>
              <w:t xml:space="preserve">f </w:t>
            </w:r>
            <w:r w:rsidRPr="00936AF9">
              <w:rPr>
                <w:rFonts w:ascii="Times New Roman" w:hAnsi="Times New Roman" w:cs="Times New Roman"/>
                <w:b w:val="0"/>
                <w:sz w:val="20"/>
                <w:szCs w:val="20"/>
                <w:lang w:val="es-CL"/>
              </w:rPr>
              <w:t xml:space="preserve">despejando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en función de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i/>
                <w:sz w:val="20"/>
                <w:szCs w:val="20"/>
                <w:lang w:val="es-CL"/>
              </w:rPr>
              <w:t xml:space="preserve"> </w:t>
            </w:r>
            <w:r w:rsidRPr="00936AF9">
              <w:rPr>
                <w:rFonts w:ascii="Times New Roman" w:hAnsi="Times New Roman" w:cs="Times New Roman"/>
                <w:b w:val="0"/>
                <w:sz w:val="20"/>
                <w:szCs w:val="20"/>
                <w:lang w:val="es-CL"/>
              </w:rPr>
              <w:t xml:space="preserve">a partir de la ecuación (2). Se pide: </w:t>
            </w:r>
          </w:p>
          <w:p w14:paraId="55EA76DC"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Calcule la tasa de crecimiento relativo de la población entre dos periodos consecutivos, es decir, calcule </w:t>
            </w:r>
            <w:proofErr w:type="spellStart"/>
            <w:r w:rsidRPr="00936AF9">
              <w:rPr>
                <w:b w:val="0"/>
                <w:i/>
                <w:sz w:val="20"/>
                <w:szCs w:val="20"/>
                <w:lang w:val="es-CL"/>
              </w:rPr>
              <w:t>r</w:t>
            </w:r>
            <w:r w:rsidRPr="00936AF9">
              <w:rPr>
                <w:b w:val="0"/>
                <w:i/>
                <w:sz w:val="20"/>
                <w:szCs w:val="20"/>
                <w:vertAlign w:val="subscript"/>
                <w:lang w:val="es-CL"/>
              </w:rPr>
              <w:t>k</w:t>
            </w:r>
            <w:proofErr w:type="spellEnd"/>
            <w:r w:rsidRPr="00936AF9">
              <w:rPr>
                <w:b w:val="0"/>
                <w:sz w:val="20"/>
                <w:szCs w:val="20"/>
                <w:vertAlign w:val="subscript"/>
                <w:lang w:val="es-CL"/>
              </w:rPr>
              <w:t xml:space="preserve"> </w:t>
            </w:r>
            <w:r w:rsidRPr="00936AF9">
              <w:rPr>
                <w:b w:val="0"/>
                <w:sz w:val="20"/>
                <w:szCs w:val="20"/>
                <w:lang w:val="es-CL"/>
              </w:rPr>
              <w:t>definida por (2).</w:t>
            </w:r>
          </w:p>
          <w:p w14:paraId="1EDEAC64"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Calcule la tasa de crecimiento relativo promedio </w:t>
            </w:r>
            <w:r w:rsidRPr="00936AF9">
              <w:rPr>
                <w:b w:val="0"/>
                <w:i/>
                <w:sz w:val="20"/>
                <w:szCs w:val="20"/>
                <w:lang w:val="es-CL"/>
              </w:rPr>
              <w:t>r</w:t>
            </w:r>
            <w:r w:rsidRPr="00936AF9">
              <w:rPr>
                <w:b w:val="0"/>
                <w:sz w:val="20"/>
                <w:szCs w:val="20"/>
                <w:lang w:val="es-CL"/>
              </w:rPr>
              <w:t xml:space="preserve"> a partir de las </w:t>
            </w:r>
            <w:proofErr w:type="spellStart"/>
            <w:r w:rsidRPr="00936AF9">
              <w:rPr>
                <w:b w:val="0"/>
                <w:sz w:val="20"/>
                <w:szCs w:val="20"/>
                <w:lang w:val="es-CL"/>
              </w:rPr>
              <w:t>r</w:t>
            </w:r>
            <w:r w:rsidRPr="00936AF9">
              <w:rPr>
                <w:b w:val="0"/>
                <w:i/>
                <w:sz w:val="20"/>
                <w:szCs w:val="20"/>
                <w:vertAlign w:val="subscript"/>
                <w:lang w:val="es-CL"/>
              </w:rPr>
              <w:t>k</w:t>
            </w:r>
            <w:proofErr w:type="spellEnd"/>
            <w:r w:rsidRPr="00936AF9">
              <w:rPr>
                <w:b w:val="0"/>
                <w:sz w:val="20"/>
                <w:szCs w:val="20"/>
                <w:lang w:val="es-CL"/>
              </w:rPr>
              <w:t xml:space="preserve">. </w:t>
            </w:r>
          </w:p>
          <w:p w14:paraId="5F884354"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tabs>
                <w:tab w:val="left" w:pos="5700"/>
              </w:tabs>
              <w:spacing w:line="240" w:lineRule="auto"/>
              <w:ind w:left="313" w:hanging="313"/>
              <w:rPr>
                <w:b w:val="0"/>
                <w:sz w:val="20"/>
                <w:szCs w:val="20"/>
                <w:lang w:val="es-CL"/>
              </w:rPr>
            </w:pPr>
            <w:r w:rsidRPr="00936AF9">
              <w:rPr>
                <w:b w:val="0"/>
                <w:sz w:val="20"/>
                <w:szCs w:val="20"/>
                <w:lang w:val="es-CL"/>
              </w:rPr>
              <w:t xml:space="preserve">De acuerdo con el supuesto (H1), el modelo matemático discreto más simple, dado por la ecuación (1), se obtiene suponiendo que la tasa de crecimiento relativo permanece constante. Suponiendo que esta constante es igual a su promedio </w:t>
            </w:r>
            <w:r w:rsidRPr="00936AF9">
              <w:rPr>
                <w:b w:val="0"/>
                <w:i/>
                <w:sz w:val="20"/>
                <w:szCs w:val="20"/>
                <w:lang w:val="es-CL"/>
              </w:rPr>
              <w:t>r</w:t>
            </w:r>
            <w:r w:rsidRPr="00936AF9">
              <w:rPr>
                <w:b w:val="0"/>
                <w:sz w:val="20"/>
                <w:szCs w:val="20"/>
                <w:lang w:val="es-CL"/>
              </w:rPr>
              <w:t xml:space="preserve">, establezca una fórmula para la función </w:t>
            </w:r>
            <w:r w:rsidRPr="00936AF9">
              <w:rPr>
                <w:b w:val="0"/>
                <w:i/>
                <w:sz w:val="20"/>
                <w:szCs w:val="20"/>
                <w:lang w:val="es-CL"/>
              </w:rPr>
              <w:t xml:space="preserve">f </w:t>
            </w:r>
            <w:r w:rsidRPr="00936AF9">
              <w:rPr>
                <w:b w:val="0"/>
                <w:sz w:val="20"/>
                <w:szCs w:val="20"/>
                <w:lang w:val="es-CL"/>
              </w:rPr>
              <w:t xml:space="preserve">despejando </w:t>
            </w:r>
            <w:r w:rsidRPr="00936AF9">
              <w:rPr>
                <w:b w:val="0"/>
                <w:i/>
                <w:sz w:val="20"/>
                <w:szCs w:val="20"/>
                <w:lang w:val="es-CL"/>
              </w:rPr>
              <w:t>x</w:t>
            </w:r>
            <w:r w:rsidRPr="00936AF9">
              <w:rPr>
                <w:b w:val="0"/>
                <w:i/>
                <w:sz w:val="20"/>
                <w:szCs w:val="20"/>
                <w:vertAlign w:val="subscript"/>
                <w:lang w:val="es-CL"/>
              </w:rPr>
              <w:t>k</w:t>
            </w:r>
            <w:r w:rsidRPr="00936AF9">
              <w:rPr>
                <w:b w:val="0"/>
                <w:sz w:val="20"/>
                <w:szCs w:val="20"/>
                <w:vertAlign w:val="subscript"/>
                <w:lang w:val="es-CL"/>
              </w:rPr>
              <w:t xml:space="preserve">+1 </w:t>
            </w:r>
            <w:r w:rsidRPr="00936AF9">
              <w:rPr>
                <w:b w:val="0"/>
                <w:sz w:val="20"/>
                <w:szCs w:val="20"/>
                <w:lang w:val="es-CL"/>
              </w:rPr>
              <w:t xml:space="preserve">en función de </w:t>
            </w:r>
            <w:proofErr w:type="spellStart"/>
            <w:r w:rsidRPr="00936AF9">
              <w:rPr>
                <w:b w:val="0"/>
                <w:i/>
                <w:sz w:val="20"/>
                <w:szCs w:val="20"/>
                <w:lang w:val="es-CL"/>
              </w:rPr>
              <w:t>x</w:t>
            </w:r>
            <w:r w:rsidRPr="00936AF9">
              <w:rPr>
                <w:b w:val="0"/>
                <w:i/>
                <w:sz w:val="20"/>
                <w:szCs w:val="20"/>
                <w:vertAlign w:val="subscript"/>
                <w:lang w:val="es-CL"/>
              </w:rPr>
              <w:t>k</w:t>
            </w:r>
            <w:proofErr w:type="spellEnd"/>
            <w:r w:rsidRPr="00936AF9">
              <w:rPr>
                <w:b w:val="0"/>
                <w:sz w:val="20"/>
                <w:szCs w:val="20"/>
                <w:lang w:val="es-CL"/>
              </w:rPr>
              <w:t xml:space="preserve"> a partir de la ecuación (2). </w:t>
            </w:r>
          </w:p>
          <w:p w14:paraId="098BE6E7"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tabs>
                <w:tab w:val="left" w:pos="5700"/>
              </w:tabs>
              <w:spacing w:line="240" w:lineRule="auto"/>
              <w:ind w:left="313" w:hanging="313"/>
              <w:rPr>
                <w:b w:val="0"/>
                <w:sz w:val="20"/>
                <w:szCs w:val="20"/>
                <w:lang w:val="es-CL"/>
              </w:rPr>
            </w:pPr>
            <w:r w:rsidRPr="00936AF9">
              <w:rPr>
                <w:b w:val="0"/>
                <w:sz w:val="20"/>
                <w:szCs w:val="20"/>
                <w:lang w:val="es-CL"/>
              </w:rPr>
              <w:t xml:space="preserve">En base al modelo encontrado, determine el crecimiento de la población en los periodos tabulados en la Tabla 1. Para ello, el modelo empieza con la población inicial, </w:t>
            </w:r>
            <w:r w:rsidRPr="00936AF9">
              <w:rPr>
                <w:b w:val="0"/>
                <w:i/>
                <w:sz w:val="20"/>
                <w:szCs w:val="20"/>
                <w:lang w:val="es-CL"/>
              </w:rPr>
              <w:t>x</w:t>
            </w:r>
            <w:r w:rsidRPr="00936AF9">
              <w:rPr>
                <w:b w:val="0"/>
                <w:sz w:val="20"/>
                <w:szCs w:val="20"/>
                <w:vertAlign w:val="subscript"/>
                <w:lang w:val="es-CL"/>
              </w:rPr>
              <w:t>0</w:t>
            </w:r>
            <w:r w:rsidRPr="00936AF9">
              <w:rPr>
                <w:b w:val="0"/>
                <w:sz w:val="20"/>
                <w:szCs w:val="20"/>
                <w:lang w:val="es-CL"/>
              </w:rPr>
              <w:t xml:space="preserve">=3231022, que corresponde a la población en el año 1907. Calcule sucesivamente </w:t>
            </w:r>
            <w:r w:rsidRPr="00936AF9">
              <w:rPr>
                <w:b w:val="0"/>
                <w:i/>
                <w:sz w:val="20"/>
                <w:szCs w:val="20"/>
                <w:lang w:val="es-CL"/>
              </w:rPr>
              <w:t>x</w:t>
            </w:r>
            <w:r w:rsidRPr="00936AF9">
              <w:rPr>
                <w:b w:val="0"/>
                <w:sz w:val="20"/>
                <w:szCs w:val="20"/>
                <w:vertAlign w:val="subscript"/>
                <w:lang w:val="es-CL"/>
              </w:rPr>
              <w:t>1</w:t>
            </w:r>
            <w:r w:rsidRPr="00936AF9">
              <w:rPr>
                <w:b w:val="0"/>
                <w:sz w:val="20"/>
                <w:szCs w:val="20"/>
                <w:lang w:val="es-CL"/>
              </w:rPr>
              <w:t xml:space="preserve">, </w:t>
            </w:r>
            <w:r w:rsidRPr="00936AF9">
              <w:rPr>
                <w:b w:val="0"/>
                <w:i/>
                <w:sz w:val="20"/>
                <w:szCs w:val="20"/>
                <w:lang w:val="es-CL"/>
              </w:rPr>
              <w:t>x</w:t>
            </w:r>
            <w:r w:rsidRPr="00936AF9">
              <w:rPr>
                <w:b w:val="0"/>
                <w:sz w:val="20"/>
                <w:szCs w:val="20"/>
                <w:vertAlign w:val="subscript"/>
                <w:lang w:val="es-CL"/>
              </w:rPr>
              <w:t>2</w:t>
            </w:r>
            <w:r w:rsidRPr="00936AF9">
              <w:rPr>
                <w:b w:val="0"/>
                <w:sz w:val="20"/>
                <w:szCs w:val="20"/>
                <w:lang w:val="es-CL"/>
              </w:rPr>
              <w:t xml:space="preserve">, ... partiendo de </w:t>
            </w:r>
            <w:r w:rsidRPr="00936AF9">
              <w:rPr>
                <w:b w:val="0"/>
                <w:i/>
                <w:sz w:val="20"/>
                <w:szCs w:val="20"/>
                <w:lang w:val="es-CL"/>
              </w:rPr>
              <w:t>x</w:t>
            </w:r>
            <w:r w:rsidRPr="00936AF9">
              <w:rPr>
                <w:b w:val="0"/>
                <w:sz w:val="20"/>
                <w:szCs w:val="20"/>
                <w:vertAlign w:val="subscript"/>
                <w:lang w:val="es-CL"/>
              </w:rPr>
              <w:t>0</w:t>
            </w:r>
            <w:r w:rsidRPr="00936AF9">
              <w:rPr>
                <w:b w:val="0"/>
                <w:sz w:val="20"/>
                <w:szCs w:val="20"/>
                <w:lang w:val="es-CL"/>
              </w:rPr>
              <w:t xml:space="preserve"> mediante la fórmula encontrada en el ítem anterior.</w:t>
            </w:r>
          </w:p>
          <w:p w14:paraId="5725E948"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Con el fin de determinar la calidad del modelo encontrado, calcule los errores relativos cometidos al aproximar el tamaño de la población real por el valor obtenido mediante el modelo. O sea: </w:t>
            </w:r>
          </w:p>
          <w:p w14:paraId="6473664A" w14:textId="77777777" w:rsidR="00936AF9" w:rsidRPr="00936AF9" w:rsidRDefault="00936AF9" w:rsidP="00936AF9">
            <w:pPr>
              <w:pBdr>
                <w:top w:val="none" w:sz="0" w:space="0" w:color="000000"/>
                <w:left w:val="none" w:sz="0" w:space="0" w:color="000000"/>
                <w:bottom w:val="none" w:sz="0" w:space="0" w:color="000000"/>
                <w:right w:val="none" w:sz="0" w:space="0" w:color="000000"/>
              </w:pBdr>
              <w:ind w:left="313" w:hanging="313"/>
              <w:jc w:val="center"/>
              <w:rPr>
                <w:rFonts w:ascii="Times New Roman" w:hAnsi="Times New Roman" w:cs="Times New Roman"/>
                <w:b w:val="0"/>
                <w:sz w:val="20"/>
                <w:szCs w:val="20"/>
                <w:lang w:val="es-CL"/>
              </w:rPr>
            </w:pPr>
            <w:r w:rsidRPr="00936AF9">
              <w:rPr>
                <w:rFonts w:ascii="Times New Roman" w:hAnsi="Times New Roman" w:cs="Times New Roman"/>
                <w:b w:val="0"/>
                <w:bCs w:val="0"/>
                <w:position w:val="-21"/>
                <w:sz w:val="20"/>
                <w:szCs w:val="20"/>
                <w:lang w:val="es-CL"/>
              </w:rPr>
              <w:object w:dxaOrig="1130" w:dyaOrig="668" w14:anchorId="317B0E91">
                <v:shape id="_x0000_i1026" type="#_x0000_t75" style="width:56.25pt;height:33.4pt" o:ole="" filled="t">
                  <v:fill color2="black"/>
                  <v:imagedata r:id="rId13" o:title=""/>
                </v:shape>
                <o:OLEObject Type="Embed" ProgID="Equation.3" ShapeID="_x0000_i1026" DrawAspect="Content" ObjectID="_1713276736" r:id="rId14"/>
              </w:object>
            </w:r>
            <w:r w:rsidRPr="00936AF9">
              <w:rPr>
                <w:rFonts w:ascii="Times New Roman" w:hAnsi="Times New Roman" w:cs="Times New Roman"/>
                <w:b w:val="0"/>
                <w:sz w:val="20"/>
                <w:szCs w:val="20"/>
                <w:lang w:val="es-CL"/>
              </w:rPr>
              <w:t xml:space="preserve">              (3)</w:t>
            </w:r>
          </w:p>
          <w:p w14:paraId="4390D58A" w14:textId="77777777" w:rsidR="00936AF9" w:rsidRDefault="00936AF9" w:rsidP="00936AF9">
            <w:pPr>
              <w:pBdr>
                <w:top w:val="none" w:sz="0" w:space="0" w:color="000000"/>
                <w:left w:val="none" w:sz="0" w:space="0" w:color="000000"/>
                <w:bottom w:val="none" w:sz="0" w:space="0" w:color="000000"/>
                <w:right w:val="none" w:sz="0" w:space="0" w:color="000000"/>
              </w:pBdr>
              <w:ind w:left="313"/>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donde y</w:t>
            </w:r>
            <w:r w:rsidRPr="00936AF9">
              <w:rPr>
                <w:rFonts w:ascii="Times New Roman" w:hAnsi="Times New Roman" w:cs="Times New Roman"/>
                <w:b w:val="0"/>
                <w:sz w:val="20"/>
                <w:szCs w:val="20"/>
                <w:vertAlign w:val="subscript"/>
                <w:lang w:val="es-CL"/>
              </w:rPr>
              <w:t xml:space="preserve">k+1 </w:t>
            </w:r>
            <w:r w:rsidRPr="00936AF9">
              <w:rPr>
                <w:rFonts w:ascii="Times New Roman" w:hAnsi="Times New Roman" w:cs="Times New Roman"/>
                <w:b w:val="0"/>
                <w:sz w:val="20"/>
                <w:szCs w:val="20"/>
                <w:lang w:val="es-CL"/>
              </w:rPr>
              <w:t xml:space="preserve">corresponde al tamaño real de la población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+1 y 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+1</w:t>
            </w:r>
            <w:r w:rsidRPr="00936AF9">
              <w:rPr>
                <w:rFonts w:ascii="Times New Roman" w:hAnsi="Times New Roman" w:cs="Times New Roman"/>
                <w:b w:val="0"/>
                <w:i/>
                <w:sz w:val="20"/>
                <w:szCs w:val="20"/>
                <w:vertAlign w:val="subscript"/>
                <w:lang w:val="es-CL"/>
              </w:rPr>
              <w:t xml:space="preserve"> </w:t>
            </w:r>
            <w:r w:rsidRPr="00936AF9">
              <w:rPr>
                <w:rFonts w:ascii="Times New Roman" w:hAnsi="Times New Roman" w:cs="Times New Roman"/>
                <w:b w:val="0"/>
                <w:sz w:val="20"/>
                <w:szCs w:val="20"/>
                <w:lang w:val="es-CL"/>
              </w:rPr>
              <w:t xml:space="preserve">es el tamaño de la población predicho por el modelo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Calcule además el error relativo promedio. ¿qué tan buenas son las aproximaciones del modelo?  </w:t>
            </w:r>
          </w:p>
          <w:p w14:paraId="59BA22AC" w14:textId="7633FD7F"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sz w:val="20"/>
                <w:szCs w:val="20"/>
                <w:lang w:val="es-CL"/>
              </w:rPr>
            </w:pPr>
            <w:r w:rsidRPr="00936AF9">
              <w:rPr>
                <w:b w:val="0"/>
                <w:sz w:val="20"/>
                <w:szCs w:val="20"/>
                <w:lang w:val="es-CL"/>
              </w:rPr>
              <w:t>En base al modelo propuesto, predecir el tamaño de la población que será determinado en los censos futuros, suponiendo que estos se realizaran cada 10 años. ¿En aproximadamente cuántas décadas más se duplicará el tamaño de la población  con respecto al tamaño en el año 2017?</w:t>
            </w:r>
          </w:p>
        </w:tc>
      </w:tr>
    </w:tbl>
    <w:p w14:paraId="50ACE933" w14:textId="77777777" w:rsidR="00EA2FED" w:rsidRDefault="00EA2FED" w:rsidP="00035295">
      <w:pPr>
        <w:spacing w:after="240"/>
        <w:ind w:firstLine="709"/>
        <w:jc w:val="both"/>
        <w:rPr>
          <w:rFonts w:ascii="Times New Roman" w:eastAsia="Times New Roman" w:hAnsi="Times New Roman" w:cs="Times New Roman"/>
          <w:b/>
          <w:bCs/>
          <w:sz w:val="22"/>
          <w:szCs w:val="22"/>
          <w:lang w:val="es-CL"/>
        </w:rPr>
      </w:pPr>
    </w:p>
    <w:p w14:paraId="07E49F8E" w14:textId="7EF679D5" w:rsidR="235DF6B6"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b/>
          <w:bCs/>
          <w:sz w:val="22"/>
          <w:szCs w:val="22"/>
          <w:lang w:val="es-CL"/>
        </w:rPr>
        <w:t xml:space="preserve">ANÁLISIS </w:t>
      </w:r>
      <w:r w:rsidR="00C4629C" w:rsidRPr="00323EDB">
        <w:rPr>
          <w:rFonts w:ascii="Times New Roman" w:eastAsia="Times New Roman" w:hAnsi="Times New Roman" w:cs="Times New Roman"/>
          <w:b/>
          <w:bCs/>
          <w:sz w:val="22"/>
          <w:szCs w:val="22"/>
          <w:lang w:val="es-CL"/>
        </w:rPr>
        <w:t>DE LOS DATOS</w:t>
      </w:r>
    </w:p>
    <w:p w14:paraId="7EA8157E" w14:textId="2FD33A18"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Los análisis se divid</w:t>
      </w:r>
      <w:r w:rsidR="00C4629C" w:rsidRPr="00323EDB">
        <w:rPr>
          <w:rFonts w:ascii="Times New Roman" w:eastAsia="Times New Roman" w:hAnsi="Times New Roman" w:cs="Times New Roman"/>
          <w:sz w:val="22"/>
          <w:szCs w:val="22"/>
          <w:lang w:val="es-CL"/>
        </w:rPr>
        <w:t>iero</w:t>
      </w:r>
      <w:r w:rsidRPr="00323EDB">
        <w:rPr>
          <w:rFonts w:ascii="Times New Roman" w:eastAsia="Times New Roman" w:hAnsi="Times New Roman" w:cs="Times New Roman"/>
          <w:sz w:val="22"/>
          <w:szCs w:val="22"/>
          <w:lang w:val="es-CL"/>
        </w:rPr>
        <w:t>n en dos apartados</w:t>
      </w:r>
      <w:r w:rsidR="00C4629C" w:rsidRPr="00323EDB">
        <w:rPr>
          <w:rFonts w:ascii="Times New Roman" w:eastAsia="Times New Roman" w:hAnsi="Times New Roman" w:cs="Times New Roman"/>
          <w:sz w:val="22"/>
          <w:szCs w:val="22"/>
          <w:lang w:val="es-CL"/>
        </w:rPr>
        <w:t xml:space="preserve">: el primero </w:t>
      </w:r>
      <w:r w:rsidRPr="00323EDB">
        <w:rPr>
          <w:rFonts w:ascii="Times New Roman" w:eastAsia="Times New Roman" w:hAnsi="Times New Roman" w:cs="Times New Roman"/>
          <w:sz w:val="22"/>
          <w:szCs w:val="22"/>
          <w:lang w:val="es-CL"/>
        </w:rPr>
        <w:t>consiste en el diseño de la tarea</w:t>
      </w:r>
      <w:r w:rsidR="00C4629C" w:rsidRPr="00323EDB">
        <w:rPr>
          <w:rFonts w:ascii="Times New Roman" w:eastAsia="Times New Roman" w:hAnsi="Times New Roman" w:cs="Times New Roman"/>
          <w:sz w:val="22"/>
          <w:szCs w:val="22"/>
          <w:lang w:val="es-CL"/>
        </w:rPr>
        <w:t>;</w:t>
      </w:r>
      <w:r w:rsidRPr="00323EDB">
        <w:rPr>
          <w:rFonts w:ascii="Times New Roman" w:eastAsia="Times New Roman" w:hAnsi="Times New Roman" w:cs="Times New Roman"/>
          <w:sz w:val="22"/>
          <w:szCs w:val="22"/>
          <w:lang w:val="es-CL"/>
        </w:rPr>
        <w:t xml:space="preserve"> y </w:t>
      </w:r>
      <w:r w:rsidR="00C4629C" w:rsidRPr="00323EDB">
        <w:rPr>
          <w:rFonts w:ascii="Times New Roman" w:eastAsia="Times New Roman" w:hAnsi="Times New Roman" w:cs="Times New Roman"/>
          <w:sz w:val="22"/>
          <w:szCs w:val="22"/>
          <w:lang w:val="es-CL"/>
        </w:rPr>
        <w:t>el segundo en</w:t>
      </w:r>
      <w:r w:rsidRPr="00323EDB">
        <w:rPr>
          <w:rFonts w:ascii="Times New Roman" w:eastAsia="Times New Roman" w:hAnsi="Times New Roman" w:cs="Times New Roman"/>
          <w:sz w:val="22"/>
          <w:szCs w:val="22"/>
          <w:lang w:val="es-CL"/>
        </w:rPr>
        <w:t xml:space="preserve"> las respuestas de</w:t>
      </w:r>
      <w:r w:rsidR="00C4629C" w:rsidRPr="00323EDB">
        <w:rPr>
          <w:rFonts w:ascii="Times New Roman" w:eastAsia="Times New Roman" w:hAnsi="Times New Roman" w:cs="Times New Roman"/>
          <w:sz w:val="22"/>
          <w:szCs w:val="22"/>
          <w:lang w:val="es-CL"/>
        </w:rPr>
        <w:t xml:space="preserve">l </w:t>
      </w:r>
      <w:r w:rsidRPr="00323EDB">
        <w:rPr>
          <w:rFonts w:ascii="Times New Roman" w:eastAsia="Times New Roman" w:hAnsi="Times New Roman" w:cs="Times New Roman"/>
          <w:sz w:val="22"/>
          <w:szCs w:val="22"/>
          <w:lang w:val="es-CL"/>
        </w:rPr>
        <w:t>estudiante</w:t>
      </w:r>
      <w:r w:rsidR="00C4629C"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mediante el ETM en las distintas fases de la modelización.</w:t>
      </w:r>
    </w:p>
    <w:p w14:paraId="66D454E9" w14:textId="52A82E39"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b/>
          <w:sz w:val="22"/>
          <w:szCs w:val="22"/>
          <w:lang w:val="es-CL"/>
        </w:rPr>
      </w:pPr>
      <w:r w:rsidRPr="00323EDB">
        <w:rPr>
          <w:rFonts w:ascii="Times New Roman" w:hAnsi="Times New Roman" w:cs="Times New Roman"/>
          <w:b/>
          <w:sz w:val="22"/>
          <w:szCs w:val="22"/>
          <w:lang w:val="es-CL"/>
        </w:rPr>
        <w:t>Análisis del diseño de la tarea</w:t>
      </w:r>
    </w:p>
    <w:p w14:paraId="415EFFC6" w14:textId="5DF09273" w:rsidR="00C74125" w:rsidRPr="00323EDB" w:rsidRDefault="00886A21" w:rsidP="00886A21">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diseño de la tarea </w:t>
      </w:r>
      <w:r w:rsidR="00C74125" w:rsidRPr="00323EDB">
        <w:rPr>
          <w:rFonts w:ascii="Times New Roman" w:eastAsia="Times New Roman" w:hAnsi="Times New Roman" w:cs="Times New Roman"/>
          <w:sz w:val="22"/>
          <w:szCs w:val="22"/>
          <w:lang w:val="es-CL"/>
        </w:rPr>
        <w:t xml:space="preserve">(ver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 se</w:t>
      </w:r>
      <w:r w:rsidRPr="00323EDB">
        <w:rPr>
          <w:rFonts w:ascii="Times New Roman" w:eastAsia="Times New Roman" w:hAnsi="Times New Roman" w:cs="Times New Roman"/>
          <w:sz w:val="22"/>
          <w:szCs w:val="22"/>
          <w:lang w:val="es-CL"/>
        </w:rPr>
        <w:t xml:space="preserve"> hizo con el fin de que el estudiante lograra comprender la formulación general del modelo propuesto</w:t>
      </w:r>
      <w:r w:rsidR="00C36C7E" w:rsidRPr="00323EDB">
        <w:rPr>
          <w:rFonts w:ascii="Times New Roman" w:eastAsia="Times New Roman" w:hAnsi="Times New Roman" w:cs="Times New Roman"/>
          <w:sz w:val="22"/>
          <w:szCs w:val="22"/>
          <w:lang w:val="es-CL"/>
        </w:rPr>
        <w:t>, junto con dar respuestas a las preguntas solicitadas</w:t>
      </w:r>
      <w:r w:rsidR="00C74125"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En es</w:t>
      </w:r>
      <w:r w:rsidR="008E3D59">
        <w:rPr>
          <w:rFonts w:ascii="Times New Roman" w:eastAsia="Times New Roman" w:hAnsi="Times New Roman" w:cs="Times New Roman"/>
          <w:sz w:val="22"/>
          <w:szCs w:val="22"/>
          <w:lang w:val="es-CL"/>
        </w:rPr>
        <w:t>t</w:t>
      </w:r>
      <w:r w:rsidRPr="00323EDB">
        <w:rPr>
          <w:rFonts w:ascii="Times New Roman" w:eastAsia="Times New Roman" w:hAnsi="Times New Roman" w:cs="Times New Roman"/>
          <w:sz w:val="22"/>
          <w:szCs w:val="22"/>
          <w:lang w:val="es-CL"/>
        </w:rPr>
        <w:t xml:space="preserve">e sentido, pensamos que </w:t>
      </w:r>
      <w:r w:rsidR="00C36C7E" w:rsidRPr="00323EDB">
        <w:rPr>
          <w:rFonts w:ascii="Times New Roman" w:eastAsia="Times New Roman" w:hAnsi="Times New Roman" w:cs="Times New Roman"/>
          <w:sz w:val="22"/>
          <w:szCs w:val="22"/>
          <w:lang w:val="es-CL"/>
        </w:rPr>
        <w:t>el estudiante tendría que hacer una</w:t>
      </w:r>
      <w:r w:rsidR="00C74125" w:rsidRPr="00323EDB">
        <w:rPr>
          <w:rFonts w:ascii="Times New Roman" w:eastAsia="Times New Roman" w:hAnsi="Times New Roman" w:cs="Times New Roman"/>
          <w:sz w:val="22"/>
          <w:szCs w:val="22"/>
          <w:lang w:val="es-CL"/>
        </w:rPr>
        <w:t xml:space="preserve"> lectura repetida del enunciado, ya que usualmente los cursos de cálculo consideran de forma muy débil las tareas de modelización,</w:t>
      </w:r>
      <w:r w:rsidR="00C36C7E" w:rsidRPr="00323EDB">
        <w:rPr>
          <w:rFonts w:ascii="Times New Roman" w:eastAsia="Times New Roman" w:hAnsi="Times New Roman" w:cs="Times New Roman"/>
          <w:sz w:val="22"/>
          <w:szCs w:val="22"/>
          <w:lang w:val="es-CL"/>
        </w:rPr>
        <w:t xml:space="preserve"> por el hecho de </w:t>
      </w:r>
      <w:r w:rsidR="00C74125" w:rsidRPr="00323EDB">
        <w:rPr>
          <w:rFonts w:ascii="Times New Roman" w:eastAsia="Times New Roman" w:hAnsi="Times New Roman" w:cs="Times New Roman"/>
          <w:sz w:val="22"/>
          <w:szCs w:val="22"/>
          <w:lang w:val="es-CL"/>
        </w:rPr>
        <w:t>centra</w:t>
      </w:r>
      <w:r w:rsidR="00C36C7E" w:rsidRPr="00323EDB">
        <w:rPr>
          <w:rFonts w:ascii="Times New Roman" w:eastAsia="Times New Roman" w:hAnsi="Times New Roman" w:cs="Times New Roman"/>
          <w:sz w:val="22"/>
          <w:szCs w:val="22"/>
          <w:lang w:val="es-CL"/>
        </w:rPr>
        <w:t>r</w:t>
      </w:r>
      <w:r w:rsidR="00C74125" w:rsidRPr="00323EDB">
        <w:rPr>
          <w:rFonts w:ascii="Times New Roman" w:eastAsia="Times New Roman" w:hAnsi="Times New Roman" w:cs="Times New Roman"/>
          <w:sz w:val="22"/>
          <w:szCs w:val="22"/>
          <w:lang w:val="es-CL"/>
        </w:rPr>
        <w:t xml:space="preserve"> sus esfuerzos en constructos matemáticos</w:t>
      </w:r>
      <w:r w:rsidR="00C36C7E" w:rsidRPr="00323EDB">
        <w:rPr>
          <w:rFonts w:ascii="Times New Roman" w:eastAsia="Times New Roman" w:hAnsi="Times New Roman" w:cs="Times New Roman"/>
          <w:sz w:val="22"/>
          <w:szCs w:val="22"/>
          <w:lang w:val="es-CL"/>
        </w:rPr>
        <w:t>,</w:t>
      </w:r>
      <w:r w:rsidR="00C74125" w:rsidRPr="00323EDB">
        <w:rPr>
          <w:rFonts w:ascii="Times New Roman" w:eastAsia="Times New Roman" w:hAnsi="Times New Roman" w:cs="Times New Roman"/>
          <w:sz w:val="22"/>
          <w:szCs w:val="22"/>
          <w:lang w:val="es-CL"/>
        </w:rPr>
        <w:t xml:space="preserve"> presentes en los planes y programas, lo que implic</w:t>
      </w:r>
      <w:r w:rsidR="00C36C7E" w:rsidRPr="00323EDB">
        <w:rPr>
          <w:rFonts w:ascii="Times New Roman" w:eastAsia="Times New Roman" w:hAnsi="Times New Roman" w:cs="Times New Roman"/>
          <w:sz w:val="22"/>
          <w:szCs w:val="22"/>
          <w:lang w:val="es-CL"/>
        </w:rPr>
        <w:t>aría</w:t>
      </w:r>
      <w:r w:rsidR="00C74125" w:rsidRPr="00323EDB">
        <w:rPr>
          <w:rFonts w:ascii="Times New Roman" w:eastAsia="Times New Roman" w:hAnsi="Times New Roman" w:cs="Times New Roman"/>
          <w:sz w:val="22"/>
          <w:szCs w:val="22"/>
          <w:lang w:val="es-CL"/>
        </w:rPr>
        <w:t xml:space="preserve"> estar frente a una tarea con un alto nivel de complejidad (</w:t>
      </w:r>
      <w:proofErr w:type="spellStart"/>
      <w:r w:rsidR="00C74125" w:rsidRPr="00323EDB">
        <w:rPr>
          <w:rFonts w:ascii="Times New Roman" w:eastAsia="Times New Roman" w:hAnsi="Times New Roman" w:cs="Times New Roman"/>
          <w:sz w:val="22"/>
          <w:szCs w:val="22"/>
          <w:lang w:val="es-CL"/>
        </w:rPr>
        <w:t>Cabasut</w:t>
      </w:r>
      <w:proofErr w:type="spellEnd"/>
      <w:r w:rsidR="00C74125" w:rsidRPr="00323EDB">
        <w:rPr>
          <w:rFonts w:ascii="Times New Roman" w:eastAsia="Times New Roman" w:hAnsi="Times New Roman" w:cs="Times New Roman"/>
          <w:sz w:val="22"/>
          <w:szCs w:val="22"/>
          <w:lang w:val="es-CL"/>
        </w:rPr>
        <w:t xml:space="preserve"> y Ferrando, 2017).</w:t>
      </w:r>
    </w:p>
    <w:p w14:paraId="7487289E" w14:textId="09A370C2" w:rsidR="00C74125" w:rsidRPr="00323EDB" w:rsidRDefault="00886A21" w:rsidP="006C36EB">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Asimismo, dado </w:t>
      </w:r>
      <w:r w:rsidR="00BB2F54" w:rsidRPr="00323EDB">
        <w:rPr>
          <w:rFonts w:ascii="Times New Roman" w:eastAsia="Times New Roman" w:hAnsi="Times New Roman" w:cs="Times New Roman"/>
          <w:sz w:val="22"/>
          <w:szCs w:val="22"/>
          <w:lang w:val="es-CL"/>
        </w:rPr>
        <w:t>que la</w:t>
      </w:r>
      <w:r w:rsidR="00C74125" w:rsidRPr="00323EDB">
        <w:rPr>
          <w:rFonts w:ascii="Times New Roman" w:eastAsia="Times New Roman" w:hAnsi="Times New Roman" w:cs="Times New Roman"/>
          <w:sz w:val="22"/>
          <w:szCs w:val="22"/>
          <w:lang w:val="es-CL"/>
        </w:rPr>
        <w:t xml:space="preserve"> aplicación de este tipo de tareas requiere una cuidadosa guía del profesor (Borromeo-Ferri, 2018), el diseño de</w:t>
      </w:r>
      <w:r w:rsidRPr="00323EDB">
        <w:rPr>
          <w:rFonts w:ascii="Times New Roman" w:eastAsia="Times New Roman" w:hAnsi="Times New Roman" w:cs="Times New Roman"/>
          <w:sz w:val="22"/>
          <w:szCs w:val="22"/>
          <w:lang w:val="es-CL"/>
        </w:rPr>
        <w:t>l</w:t>
      </w:r>
      <w:r w:rsidR="00C74125" w:rsidRPr="00323EDB">
        <w:rPr>
          <w:rFonts w:ascii="Times New Roman" w:eastAsia="Times New Roman" w:hAnsi="Times New Roman" w:cs="Times New Roman"/>
          <w:sz w:val="22"/>
          <w:szCs w:val="22"/>
          <w:lang w:val="es-CL"/>
        </w:rPr>
        <w:t xml:space="preserve"> enunciado incluyó la formulación del problema, la sistematización</w:t>
      </w:r>
      <w:r w:rsidR="00046AB1">
        <w:rPr>
          <w:rFonts w:ascii="Times New Roman" w:eastAsia="Times New Roman" w:hAnsi="Times New Roman" w:cs="Times New Roman"/>
          <w:sz w:val="22"/>
          <w:szCs w:val="22"/>
          <w:lang w:val="es-CL"/>
        </w:rPr>
        <w:t xml:space="preserve"> y parte de la matematización. En efecto,</w:t>
      </w:r>
      <w:r w:rsidR="00C74125" w:rsidRPr="00323EDB">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sz w:val="22"/>
          <w:szCs w:val="22"/>
          <w:lang w:val="es-CL"/>
        </w:rPr>
        <w:t xml:space="preserve">se formularon </w:t>
      </w:r>
      <w:r w:rsidR="00C74125" w:rsidRPr="00323EDB">
        <w:rPr>
          <w:rFonts w:ascii="Times New Roman" w:eastAsia="Times New Roman" w:hAnsi="Times New Roman" w:cs="Times New Roman"/>
          <w:sz w:val="22"/>
          <w:szCs w:val="22"/>
          <w:lang w:val="es-CL"/>
        </w:rPr>
        <w:t xml:space="preserve">dos supuestos de trabajo (H1 y H2,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 </w:t>
      </w:r>
      <w:r w:rsidR="00046AB1">
        <w:rPr>
          <w:rFonts w:ascii="Times New Roman" w:eastAsia="Times New Roman" w:hAnsi="Times New Roman" w:cs="Times New Roman"/>
          <w:sz w:val="22"/>
          <w:szCs w:val="22"/>
          <w:lang w:val="es-CL"/>
        </w:rPr>
        <w:t xml:space="preserve">se </w:t>
      </w:r>
      <w:r w:rsidR="00C74125" w:rsidRPr="00323EDB">
        <w:rPr>
          <w:rFonts w:ascii="Times New Roman" w:eastAsia="Times New Roman" w:hAnsi="Times New Roman" w:cs="Times New Roman"/>
          <w:sz w:val="22"/>
          <w:szCs w:val="22"/>
          <w:lang w:val="es-CL"/>
        </w:rPr>
        <w:t>predefini</w:t>
      </w:r>
      <w:r w:rsidR="00046AB1">
        <w:rPr>
          <w:rFonts w:ascii="Times New Roman" w:eastAsia="Times New Roman" w:hAnsi="Times New Roman" w:cs="Times New Roman"/>
          <w:sz w:val="22"/>
          <w:szCs w:val="22"/>
          <w:lang w:val="es-CL"/>
        </w:rPr>
        <w:t>e</w:t>
      </w:r>
      <w:r w:rsidR="00C74125" w:rsidRPr="00323EDB">
        <w:rPr>
          <w:rFonts w:ascii="Times New Roman" w:eastAsia="Times New Roman" w:hAnsi="Times New Roman" w:cs="Times New Roman"/>
          <w:sz w:val="22"/>
          <w:szCs w:val="22"/>
          <w:lang w:val="es-CL"/>
        </w:rPr>
        <w:t>r</w:t>
      </w:r>
      <w:r w:rsidR="00046AB1">
        <w:rPr>
          <w:rFonts w:ascii="Times New Roman" w:eastAsia="Times New Roman" w:hAnsi="Times New Roman" w:cs="Times New Roman"/>
          <w:sz w:val="22"/>
          <w:szCs w:val="22"/>
          <w:lang w:val="es-CL"/>
        </w:rPr>
        <w:t>on</w:t>
      </w:r>
      <w:r w:rsidR="00C74125" w:rsidRPr="00323EDB">
        <w:rPr>
          <w:rFonts w:ascii="Times New Roman" w:eastAsia="Times New Roman" w:hAnsi="Times New Roman" w:cs="Times New Roman"/>
          <w:sz w:val="22"/>
          <w:szCs w:val="22"/>
          <w:lang w:val="es-CL"/>
        </w:rPr>
        <w:t xml:space="preserve"> las variables (tasa de crecimiento relativo de la población) y relaciones de interés para el dominio de investigación del problema (relación entre la tasa de crecimiento relativa y la cantidad de individuos de la población,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w:t>
      </w:r>
      <w:r w:rsidR="00046AB1">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i/>
          <w:iCs/>
          <w:sz w:val="22"/>
          <w:szCs w:val="22"/>
          <w:lang w:val="es-CL"/>
        </w:rPr>
        <w:t>i.e., la sistematización</w:t>
      </w:r>
      <w:r w:rsidR="00C74125" w:rsidRPr="00323EDB">
        <w:rPr>
          <w:rFonts w:ascii="Times New Roman" w:eastAsia="Times New Roman" w:hAnsi="Times New Roman" w:cs="Times New Roman"/>
          <w:sz w:val="22"/>
          <w:szCs w:val="22"/>
          <w:lang w:val="es-CL"/>
        </w:rPr>
        <w:t xml:space="preserve"> y </w:t>
      </w:r>
      <w:r w:rsidR="00046AB1">
        <w:rPr>
          <w:rFonts w:ascii="Times New Roman" w:eastAsia="Times New Roman" w:hAnsi="Times New Roman" w:cs="Times New Roman"/>
          <w:sz w:val="22"/>
          <w:szCs w:val="22"/>
          <w:lang w:val="es-CL"/>
        </w:rPr>
        <w:t>se proveyeron</w:t>
      </w:r>
      <w:r w:rsidR="00C74125" w:rsidRPr="00323EDB">
        <w:rPr>
          <w:rFonts w:ascii="Times New Roman" w:eastAsia="Times New Roman" w:hAnsi="Times New Roman" w:cs="Times New Roman"/>
          <w:sz w:val="22"/>
          <w:szCs w:val="22"/>
          <w:lang w:val="es-CL"/>
        </w:rPr>
        <w:t xml:space="preserve"> fórmulas (ecuaciones (1) y (2),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w:t>
      </w:r>
      <w:r w:rsidR="00046AB1">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i/>
          <w:iCs/>
          <w:sz w:val="22"/>
          <w:szCs w:val="22"/>
          <w:lang w:val="es-CL"/>
        </w:rPr>
        <w:t xml:space="preserve">i.e., parte de la matematización, </w:t>
      </w:r>
      <w:r w:rsidR="00046AB1" w:rsidRPr="00323EDB">
        <w:rPr>
          <w:rFonts w:ascii="Times New Roman" w:eastAsia="Times New Roman" w:hAnsi="Times New Roman" w:cs="Times New Roman"/>
          <w:sz w:val="22"/>
          <w:szCs w:val="22"/>
          <w:lang w:val="es-CL"/>
        </w:rPr>
        <w:t>lo que permitiría acercarse al modelo propuesto</w:t>
      </w:r>
      <w:r w:rsidR="00046AB1">
        <w:rPr>
          <w:rFonts w:ascii="Times New Roman" w:eastAsia="Times New Roman" w:hAnsi="Times New Roman" w:cs="Times New Roman"/>
          <w:i/>
          <w:iCs/>
          <w:sz w:val="22"/>
          <w:szCs w:val="22"/>
          <w:lang w:val="es-CL"/>
        </w:rPr>
        <w:t>.</w:t>
      </w:r>
    </w:p>
    <w:p w14:paraId="4F5EB2CF" w14:textId="0C729B2C"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t>Descripción de la tarea</w:t>
      </w:r>
    </w:p>
    <w:p w14:paraId="04714F0C" w14:textId="6980106F"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i/>
          <w:sz w:val="22"/>
          <w:szCs w:val="22"/>
          <w:lang w:val="es-CL"/>
        </w:rPr>
      </w:pPr>
      <w:r w:rsidRPr="00323EDB">
        <w:rPr>
          <w:rFonts w:ascii="Times New Roman" w:hAnsi="Times New Roman" w:cs="Times New Roman"/>
          <w:sz w:val="22"/>
          <w:szCs w:val="22"/>
          <w:lang w:val="es-CL"/>
        </w:rPr>
        <w:t xml:space="preserve">El área de investigación propuesta corresponde a dinámica de poblaciones, uno de los principales objetos de estudio de la biología matemática. Como el problema se formula matemáticamente a partir de un modelo discreto para una sola variable (ecuación (1),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en este caso, el dominio se enmarca en el campo del análisis real. Queda a cargo del estudiante establecer el sistema o modelo matemático,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xml:space="preserve">, la parte final de la matematización, la cual es guiada a lo largo del enunciado hasta llegar a la pregunta 3. En este caso, la fórmula para el modelo se obtiene haciendo uso de ambos supuestos, principalmente guiado del primero (H1,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solicitando al estudiante estimar previamente la tasa de crecimiento relativo promedio (pregunta 2,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constituyendo un cálculo preliminar para establecer el modelo, teniendo en cuenta que esta variable es constante e igual a su media (pregunta 3,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A continuación, la tarea propone el cálculo de estimaciones de la población (pregunta 4,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etapa de análisis matemático que conduce a los resultados del modelo, para luego interpretar/evaluar los resultados por medio del error relativo promedio con el fin de asesorar la validez del modelo en forma cuantitativa, estableciendo márgenes de precisión en los cálculos predictivos que demanda la tarea (pregunta 5,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Para lo anterior, el enunciado provee una tabla de datos de la población chilena medida en los censos a lo largo del periodo 1907-2017, extraído del sitio web del Instituto Nacional de Estadística. Cabe señalar que los datos, como una de las islas centrales del ciclo de Blomhøj (ver Fig. 2), pueden provenir de la tarea de modelización o no, pudiendo ser utilizados en las etapas de sistematización y matematización, tanto para la construcción como para la validación del modelo. En este sentido, una eventual tarea cuyo objetivo sería la formulación del mismo problema, con un dominio de investigación a precisar, debería guiar las características de la realidad percibida para ser modelizada, sistematizada, y matematizada. Esto podría lograrse, por ejemplo, a través de un gráfico (semilogarítmico) de los datos, lo cual permitiría visualizar el crecimiento de la población y obtener a partir de ahí el modelo. </w:t>
      </w:r>
    </w:p>
    <w:p w14:paraId="725185D2" w14:textId="77777777" w:rsidR="00C74125" w:rsidRPr="00323EDB" w:rsidRDefault="00C74125" w:rsidP="00EA2FED">
      <w:pPr>
        <w:spacing w:after="120"/>
        <w:rPr>
          <w:rFonts w:ascii="Times New Roman" w:eastAsia="Arial" w:hAnsi="Times New Roman" w:cs="Times New Roman"/>
          <w:sz w:val="22"/>
          <w:szCs w:val="22"/>
          <w:lang w:val="es-CL"/>
        </w:rPr>
      </w:pPr>
    </w:p>
    <w:p w14:paraId="2CAE36C4" w14:textId="2F5F33C3"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b/>
          <w:sz w:val="22"/>
          <w:szCs w:val="22"/>
          <w:lang w:val="es-CL"/>
        </w:rPr>
        <w:t>Análisis de la resolución de la tarea</w:t>
      </w:r>
    </w:p>
    <w:p w14:paraId="3277CA53" w14:textId="2A50AD9B" w:rsidR="00C74125" w:rsidRPr="00323EDB" w:rsidRDefault="00F95952"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L</w:t>
      </w:r>
      <w:r w:rsidR="00C74125" w:rsidRPr="00323EDB">
        <w:rPr>
          <w:rFonts w:ascii="Times New Roman" w:hAnsi="Times New Roman" w:cs="Times New Roman"/>
          <w:sz w:val="22"/>
          <w:szCs w:val="22"/>
          <w:lang w:val="es-CL"/>
        </w:rPr>
        <w:t xml:space="preserve">os estudiantes respondieron correctamente a las preguntas 1 y 2, </w:t>
      </w:r>
      <w:r w:rsidRPr="00323EDB">
        <w:rPr>
          <w:rFonts w:ascii="Times New Roman" w:hAnsi="Times New Roman" w:cs="Times New Roman"/>
          <w:sz w:val="22"/>
          <w:szCs w:val="22"/>
          <w:lang w:val="es-CL"/>
        </w:rPr>
        <w:t>pero notamos dificultad para concretar una</w:t>
      </w:r>
      <w:r w:rsidR="00C74125" w:rsidRPr="00323EDB">
        <w:rPr>
          <w:rFonts w:ascii="Times New Roman" w:hAnsi="Times New Roman" w:cs="Times New Roman"/>
          <w:sz w:val="22"/>
          <w:szCs w:val="22"/>
          <w:lang w:val="es-CL"/>
        </w:rPr>
        <w:t xml:space="preserve"> fórmula </w:t>
      </w:r>
      <w:r w:rsidRPr="00323EDB">
        <w:rPr>
          <w:rFonts w:ascii="Times New Roman" w:hAnsi="Times New Roman" w:cs="Times New Roman"/>
          <w:sz w:val="22"/>
          <w:szCs w:val="22"/>
          <w:lang w:val="es-CL"/>
        </w:rPr>
        <w:t>para el</w:t>
      </w:r>
      <w:r w:rsidR="00C74125" w:rsidRPr="00323EDB">
        <w:rPr>
          <w:rFonts w:ascii="Times New Roman" w:hAnsi="Times New Roman" w:cs="Times New Roman"/>
          <w:sz w:val="22"/>
          <w:szCs w:val="22"/>
          <w:lang w:val="es-CL"/>
        </w:rPr>
        <w:t xml:space="preserve"> modelo en la pregunta 3 (ecuaciones (1)-(2) combinadas con el supuesto H1 y con el enunciado de la pregunta 3, ver </w:t>
      </w:r>
      <w:r w:rsidR="00A4327B">
        <w:rPr>
          <w:rFonts w:ascii="Times New Roman" w:hAnsi="Times New Roman" w:cs="Times New Roman"/>
          <w:sz w:val="22"/>
          <w:szCs w:val="22"/>
          <w:lang w:val="es-CL"/>
        </w:rPr>
        <w:t>tabla</w:t>
      </w:r>
      <w:r w:rsidR="00C74125" w:rsidRPr="00323EDB">
        <w:rPr>
          <w:rFonts w:ascii="Times New Roman" w:hAnsi="Times New Roman" w:cs="Times New Roman"/>
          <w:sz w:val="22"/>
          <w:szCs w:val="22"/>
          <w:lang w:val="es-CL"/>
        </w:rPr>
        <w:t xml:space="preserve"> 1). </w:t>
      </w:r>
      <w:r w:rsidRPr="00323EDB">
        <w:rPr>
          <w:rFonts w:ascii="Times New Roman" w:hAnsi="Times New Roman" w:cs="Times New Roman"/>
          <w:sz w:val="22"/>
          <w:szCs w:val="22"/>
          <w:lang w:val="es-CL"/>
        </w:rPr>
        <w:t xml:space="preserve">Lo anterior, podría deberse a una confusión con </w:t>
      </w:r>
      <w:r w:rsidR="00C74125" w:rsidRPr="00323EDB">
        <w:rPr>
          <w:rFonts w:ascii="Times New Roman" w:hAnsi="Times New Roman" w:cs="Times New Roman"/>
          <w:sz w:val="22"/>
          <w:szCs w:val="22"/>
          <w:lang w:val="es-CL"/>
        </w:rPr>
        <w:t xml:space="preserve">el supuesto H1 con la realidad, </w:t>
      </w:r>
      <w:r w:rsidR="00C74125" w:rsidRPr="00323EDB">
        <w:rPr>
          <w:rFonts w:ascii="Times New Roman" w:hAnsi="Times New Roman" w:cs="Times New Roman"/>
          <w:i/>
          <w:iCs/>
          <w:sz w:val="22"/>
          <w:szCs w:val="22"/>
          <w:lang w:val="es-CL"/>
        </w:rPr>
        <w:t>i.e.</w:t>
      </w:r>
      <w:r w:rsidR="00C74125" w:rsidRPr="00323EDB">
        <w:rPr>
          <w:rFonts w:ascii="Times New Roman" w:hAnsi="Times New Roman" w:cs="Times New Roman"/>
          <w:sz w:val="22"/>
          <w:szCs w:val="22"/>
          <w:lang w:val="es-CL"/>
        </w:rPr>
        <w:t xml:space="preserve">, en lugar de calcular las tasas de crecimiento relativo en cada periodo (pregunta 1), sólo la calcularon en el primero o en alguno posterior y se limitaron a decir que, dado que permanecía constante, el valor de esta era igual a la que calcularon, ya sea en el periodo </w:t>
      </w:r>
      <w:r w:rsidR="00C74125" w:rsidRPr="00323EDB">
        <w:rPr>
          <w:rFonts w:ascii="Times New Roman" w:hAnsi="Times New Roman" w:cs="Times New Roman"/>
          <w:position w:val="-1"/>
          <w:sz w:val="22"/>
          <w:szCs w:val="22"/>
          <w:lang w:val="es-CL"/>
        </w:rPr>
        <w:object w:dxaOrig="447" w:dyaOrig="265" w14:anchorId="4485D2F3">
          <v:shape id="_x0000_i1027" type="#_x0000_t75" style="width:22.15pt;height:13.15pt" o:ole="" filled="t">
            <v:fill color2="black"/>
            <v:imagedata r:id="rId15" o:title=""/>
          </v:shape>
          <o:OLEObject Type="Embed" ProgID="Equation.3" ShapeID="_x0000_i1027" DrawAspect="Content" ObjectID="_1713276737" r:id="rId16"/>
        </w:object>
      </w:r>
      <w:r w:rsidR="00C74125" w:rsidRPr="00323EDB">
        <w:rPr>
          <w:rFonts w:ascii="Times New Roman" w:hAnsi="Times New Roman" w:cs="Times New Roman"/>
          <w:sz w:val="22"/>
          <w:szCs w:val="22"/>
          <w:lang w:val="es-CL"/>
        </w:rPr>
        <w:t xml:space="preserve"> o </w:t>
      </w:r>
      <w:r w:rsidR="00C74125" w:rsidRPr="00323EDB">
        <w:rPr>
          <w:rFonts w:ascii="Times New Roman" w:hAnsi="Times New Roman" w:cs="Times New Roman"/>
          <w:position w:val="-3"/>
          <w:sz w:val="22"/>
          <w:szCs w:val="22"/>
          <w:lang w:val="es-CL"/>
        </w:rPr>
        <w:object w:dxaOrig="530" w:dyaOrig="301" w14:anchorId="5CFA94B5">
          <v:shape id="_x0000_i1028" type="#_x0000_t75" style="width:26.65pt;height:15pt" o:ole="" filled="t">
            <v:fill color2="black"/>
            <v:imagedata r:id="rId17" o:title=""/>
          </v:shape>
          <o:OLEObject Type="Embed" ProgID="Equation.3" ShapeID="_x0000_i1028" DrawAspect="Content" ObjectID="_1713276738" r:id="rId18"/>
        </w:object>
      </w:r>
      <w:r w:rsidR="00C74125" w:rsidRPr="00323EDB">
        <w:rPr>
          <w:rFonts w:ascii="Times New Roman" w:hAnsi="Times New Roman" w:cs="Times New Roman"/>
          <w:sz w:val="22"/>
          <w:szCs w:val="22"/>
          <w:lang w:val="es-CL"/>
        </w:rPr>
        <w:t xml:space="preserve">, para algún </w:t>
      </w:r>
      <w:r w:rsidR="00C74125" w:rsidRPr="00323EDB">
        <w:rPr>
          <w:rFonts w:ascii="Times New Roman" w:hAnsi="Times New Roman" w:cs="Times New Roman"/>
          <w:position w:val="-3"/>
          <w:sz w:val="22"/>
          <w:szCs w:val="22"/>
          <w:lang w:val="es-CL"/>
        </w:rPr>
        <w:object w:dxaOrig="202" w:dyaOrig="301" w14:anchorId="1427DB31">
          <v:shape id="_x0000_i1029" type="#_x0000_t75" style="width:10.15pt;height:15pt" o:ole="" filled="t">
            <v:fill color2="black"/>
            <v:imagedata r:id="rId19" o:title=""/>
          </v:shape>
          <o:OLEObject Type="Embed" ProgID="Equation.3" ShapeID="_x0000_i1029" DrawAspect="Content" ObjectID="_1713276739" r:id="rId20"/>
        </w:object>
      </w:r>
      <w:r w:rsidR="00C74125" w:rsidRPr="00323EDB">
        <w:rPr>
          <w:rFonts w:ascii="Times New Roman" w:hAnsi="Times New Roman" w:cs="Times New Roman"/>
          <w:sz w:val="22"/>
          <w:szCs w:val="22"/>
          <w:lang w:val="es-CL"/>
        </w:rPr>
        <w:t xml:space="preserve"> fijo, a partir de lo cual los resultados del modelo no concuerdan con los datos reales. De hecho, la mayoría de los estudiantes (23 de 31) supusieron erróneamente que </w:t>
      </w:r>
      <w:r w:rsidR="00C74125" w:rsidRPr="00323EDB">
        <w:rPr>
          <w:rFonts w:ascii="Times New Roman" w:hAnsi="Times New Roman" w:cs="Times New Roman"/>
          <w:position w:val="-4"/>
          <w:sz w:val="22"/>
          <w:szCs w:val="22"/>
          <w:lang w:val="es-CL"/>
        </w:rPr>
        <w:object w:dxaOrig="615" w:dyaOrig="322" w14:anchorId="5810AECE">
          <v:shape id="_x0000_i1030" type="#_x0000_t75" style="width:30.75pt;height:16.5pt" o:ole="" filled="t">
            <v:fill color2="black"/>
            <v:imagedata r:id="rId21" o:title=""/>
          </v:shape>
          <o:OLEObject Type="Embed" ProgID="Equation.3" ShapeID="_x0000_i1030" DrawAspect="Content" ObjectID="_1713276740" r:id="rId22"/>
        </w:object>
      </w:r>
      <w:r w:rsidR="00C74125" w:rsidRPr="00323EDB">
        <w:rPr>
          <w:rFonts w:ascii="Times New Roman" w:hAnsi="Times New Roman" w:cs="Times New Roman"/>
          <w:sz w:val="22"/>
          <w:szCs w:val="22"/>
          <w:lang w:val="es-CL"/>
        </w:rPr>
        <w:t xml:space="preserve"> en lugar de </w:t>
      </w:r>
      <w:r w:rsidR="00C74125" w:rsidRPr="00323EDB">
        <w:rPr>
          <w:rFonts w:ascii="Times New Roman" w:hAnsi="Times New Roman" w:cs="Times New Roman"/>
          <w:position w:val="-3"/>
          <w:sz w:val="22"/>
          <w:szCs w:val="22"/>
          <w:lang w:val="es-CL"/>
        </w:rPr>
        <w:object w:dxaOrig="494" w:dyaOrig="301" w14:anchorId="130F0408">
          <v:shape id="_x0000_i1031" type="#_x0000_t75" style="width:24.75pt;height:15pt" o:ole="" filled="t">
            <v:fill color2="black"/>
            <v:imagedata r:id="rId23" o:title=""/>
          </v:shape>
          <o:OLEObject Type="Embed" ProgID="Equation.3" ShapeID="_x0000_i1031" DrawAspect="Content" ObjectID="_1713276741" r:id="rId24"/>
        </w:object>
      </w:r>
      <w:r w:rsidR="00C74125" w:rsidRPr="00323EDB">
        <w:rPr>
          <w:rFonts w:ascii="Times New Roman" w:hAnsi="Times New Roman" w:cs="Times New Roman"/>
          <w:sz w:val="22"/>
          <w:szCs w:val="22"/>
          <w:lang w:val="es-CL"/>
        </w:rPr>
        <w:t xml:space="preserve">, denotando explícitamente que </w:t>
      </w:r>
      <w:r w:rsidR="00C74125" w:rsidRPr="00323EDB">
        <w:rPr>
          <w:rFonts w:ascii="Times New Roman" w:hAnsi="Times New Roman" w:cs="Times New Roman"/>
          <w:position w:val="-3"/>
          <w:sz w:val="22"/>
          <w:szCs w:val="22"/>
          <w:lang w:val="es-CL"/>
        </w:rPr>
        <w:object w:dxaOrig="506" w:dyaOrig="301" w14:anchorId="421A6FA9">
          <v:shape id="_x0000_i1032" type="#_x0000_t75" style="width:25.15pt;height:15pt" o:ole="" filled="t">
            <v:fill color2="black"/>
            <v:imagedata r:id="rId25" o:title=""/>
          </v:shape>
          <o:OLEObject Type="Embed" ProgID="Equation.3" ShapeID="_x0000_i1032" DrawAspect="Content" ObjectID="_1713276742" r:id="rId26"/>
        </w:object>
      </w:r>
      <w:r w:rsidR="00C74125" w:rsidRPr="00323EDB">
        <w:rPr>
          <w:rFonts w:ascii="Times New Roman" w:hAnsi="Times New Roman" w:cs="Times New Roman"/>
          <w:sz w:val="22"/>
          <w:szCs w:val="22"/>
          <w:lang w:val="es-CL"/>
        </w:rPr>
        <w:t xml:space="preserve">, donde </w:t>
      </w:r>
      <w:r w:rsidR="00C74125" w:rsidRPr="00323EDB">
        <w:rPr>
          <w:rFonts w:ascii="Times New Roman" w:hAnsi="Times New Roman" w:cs="Times New Roman"/>
          <w:i/>
          <w:sz w:val="22"/>
          <w:szCs w:val="22"/>
          <w:lang w:val="es-CL"/>
        </w:rPr>
        <w:t xml:space="preserve">c </w:t>
      </w:r>
      <w:r w:rsidR="00C74125" w:rsidRPr="00323EDB">
        <w:rPr>
          <w:rFonts w:ascii="Times New Roman" w:hAnsi="Times New Roman" w:cs="Times New Roman"/>
          <w:sz w:val="22"/>
          <w:szCs w:val="22"/>
          <w:lang w:val="es-CL"/>
        </w:rPr>
        <w:t xml:space="preserve">es el valor de la tasa de crecimiento relativo en algún periodo fijo, </w:t>
      </w:r>
      <w:r w:rsidR="00C74125" w:rsidRPr="00323EDB">
        <w:rPr>
          <w:rFonts w:ascii="Times New Roman" w:hAnsi="Times New Roman" w:cs="Times New Roman"/>
          <w:i/>
          <w:sz w:val="22"/>
          <w:szCs w:val="22"/>
          <w:lang w:val="es-CL"/>
        </w:rPr>
        <w:t>k</w:t>
      </w:r>
      <w:r w:rsidR="00C74125" w:rsidRPr="00323EDB">
        <w:rPr>
          <w:rFonts w:ascii="Times New Roman" w:hAnsi="Times New Roman" w:cs="Times New Roman"/>
          <w:i/>
          <w:sz w:val="22"/>
          <w:szCs w:val="22"/>
          <w:vertAlign w:val="subscript"/>
          <w:lang w:val="es-CL"/>
        </w:rPr>
        <w:t>0</w:t>
      </w:r>
      <w:r w:rsidR="00C74125" w:rsidRPr="00323EDB">
        <w:rPr>
          <w:rFonts w:ascii="Times New Roman" w:hAnsi="Times New Roman" w:cs="Times New Roman"/>
          <w:sz w:val="22"/>
          <w:szCs w:val="22"/>
          <w:lang w:val="es-CL"/>
        </w:rPr>
        <w:t>, elegido arbitrariamente. Un caso particular que presenta este error se muestra en la figura 3.</w:t>
      </w:r>
    </w:p>
    <w:p w14:paraId="3AB8B194" w14:textId="77777777" w:rsidR="00C74125" w:rsidRPr="00F546B3" w:rsidRDefault="00C74125" w:rsidP="00936AF9">
      <w:pPr>
        <w:spacing w:after="120"/>
        <w:ind w:firstLine="709"/>
        <w:rPr>
          <w:rFonts w:ascii="Times New Roman" w:eastAsia="Times New Roman" w:hAnsi="Times New Roman" w:cs="Times New Roman"/>
          <w:b/>
          <w:bCs/>
          <w:sz w:val="22"/>
          <w:szCs w:val="22"/>
          <w:lang w:val="es-CL"/>
        </w:rPr>
      </w:pPr>
      <w:r w:rsidRPr="00F546B3">
        <w:rPr>
          <w:rFonts w:ascii="Times New Roman" w:eastAsia="Times New Roman" w:hAnsi="Times New Roman" w:cs="Times New Roman"/>
          <w:b/>
          <w:bCs/>
          <w:sz w:val="22"/>
          <w:szCs w:val="22"/>
          <w:lang w:val="es-CL"/>
        </w:rPr>
        <w:t>Figura 3</w:t>
      </w:r>
    </w:p>
    <w:p w14:paraId="3E4A0F8A" w14:textId="6F701A95" w:rsidR="00C74125" w:rsidRPr="00F546B3" w:rsidRDefault="00C74125" w:rsidP="00936AF9">
      <w:pPr>
        <w:spacing w:after="120"/>
        <w:ind w:firstLine="709"/>
        <w:rPr>
          <w:rFonts w:ascii="Times New Roman" w:eastAsia="Times New Roman" w:hAnsi="Times New Roman" w:cs="Times New Roman"/>
          <w:bCs/>
          <w:i/>
          <w:sz w:val="22"/>
          <w:szCs w:val="22"/>
          <w:lang w:val="es-CL"/>
        </w:rPr>
      </w:pPr>
      <w:r w:rsidRPr="00F546B3">
        <w:rPr>
          <w:rFonts w:ascii="Times New Roman" w:eastAsia="Times New Roman" w:hAnsi="Times New Roman" w:cs="Times New Roman"/>
          <w:bCs/>
          <w:i/>
          <w:sz w:val="22"/>
          <w:szCs w:val="22"/>
          <w:lang w:val="es-CL"/>
        </w:rPr>
        <w:t>Confusión del supuesto H1 con valores reales de tasa de crecimiento</w:t>
      </w:r>
    </w:p>
    <w:p w14:paraId="78B3149A" w14:textId="342F7021" w:rsidR="00C74125" w:rsidRPr="00323EDB" w:rsidRDefault="00C74125" w:rsidP="00035295">
      <w:pPr>
        <w:spacing w:after="240"/>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1709CF4A" wp14:editId="65E2C496">
            <wp:extent cx="3902746" cy="1821180"/>
            <wp:effectExtent l="0" t="0" r="2540" b="76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5986" cy="1822692"/>
                    </a:xfrm>
                    <a:prstGeom prst="rect">
                      <a:avLst/>
                    </a:prstGeom>
                    <a:noFill/>
                    <a:ln>
                      <a:noFill/>
                    </a:ln>
                    <a:effectLst/>
                  </pic:spPr>
                </pic:pic>
              </a:graphicData>
            </a:graphic>
          </wp:inline>
        </w:drawing>
      </w:r>
    </w:p>
    <w:p w14:paraId="093FEADA" w14:textId="2112ABA8"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Este tipo de errores era previsible, dada la inexperiencia de los estudiantes en este tipo de tareas y, sobre todo, por la alta demanda cognitiva de la tarea, la cual constituye un problema </w:t>
      </w:r>
      <w:r w:rsidR="008A5DE2">
        <w:rPr>
          <w:rFonts w:ascii="Times New Roman" w:hAnsi="Times New Roman" w:cs="Times New Roman"/>
          <w:sz w:val="22"/>
          <w:szCs w:val="22"/>
          <w:lang w:val="es-CL"/>
        </w:rPr>
        <w:t>genuino</w:t>
      </w:r>
      <w:r w:rsidRPr="00323EDB">
        <w:rPr>
          <w:rFonts w:ascii="Times New Roman" w:hAnsi="Times New Roman" w:cs="Times New Roman"/>
          <w:sz w:val="22"/>
          <w:szCs w:val="22"/>
          <w:lang w:val="es-CL"/>
        </w:rPr>
        <w:t xml:space="preserve"> de investigación (Borromeo-Ferri, 2018), como fue mencionado.</w:t>
      </w:r>
    </w:p>
    <w:p w14:paraId="0CF0D674" w14:textId="766D7EB5" w:rsidR="00C74125" w:rsidRDefault="00C74125" w:rsidP="00EA2FED">
      <w:pPr>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Como anunciamos en la metodología, centramos los análisis en las respuestas de Juan, las cuales representan a la parte de los estudiantes que respondieron adecuadamente; ver Figuras 4-5.</w:t>
      </w:r>
    </w:p>
    <w:p w14:paraId="61A2E821" w14:textId="77777777" w:rsidR="00EA2FED" w:rsidRDefault="00EA2FED" w:rsidP="00EA2FED">
      <w:pPr>
        <w:ind w:firstLine="709"/>
        <w:jc w:val="both"/>
        <w:rPr>
          <w:rFonts w:ascii="Times New Roman" w:hAnsi="Times New Roman" w:cs="Times New Roman"/>
          <w:sz w:val="22"/>
          <w:szCs w:val="22"/>
          <w:lang w:val="es-CL"/>
        </w:rPr>
      </w:pPr>
    </w:p>
    <w:tbl>
      <w:tblPr>
        <w:tblStyle w:val="Tablanormal4"/>
        <w:tblW w:w="0" w:type="auto"/>
        <w:tblLook w:val="04A0" w:firstRow="1" w:lastRow="0" w:firstColumn="1" w:lastColumn="0" w:noHBand="0" w:noVBand="1"/>
      </w:tblPr>
      <w:tblGrid>
        <w:gridCol w:w="3450"/>
        <w:gridCol w:w="3450"/>
      </w:tblGrid>
      <w:tr w:rsidR="00EA2FED" w:rsidRPr="004E0715" w14:paraId="349E41F6" w14:textId="77777777" w:rsidTr="00EA2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69DB6BF2" w14:textId="77777777" w:rsidR="00EA2FED" w:rsidRPr="00323EDB" w:rsidRDefault="00EA2FED" w:rsidP="00EA2FED">
            <w:pPr>
              <w:jc w:val="both"/>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3A162170" wp14:editId="7E0D8B4B">
                  <wp:extent cx="1563928" cy="17210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88069" cy="1747642"/>
                          </a:xfrm>
                          <a:prstGeom prst="rect">
                            <a:avLst/>
                          </a:prstGeom>
                          <a:noFill/>
                          <a:ln>
                            <a:noFill/>
                          </a:ln>
                          <a:effectLst/>
                        </pic:spPr>
                      </pic:pic>
                    </a:graphicData>
                  </a:graphic>
                </wp:inline>
              </w:drawing>
            </w:r>
          </w:p>
          <w:p w14:paraId="6F75D556" w14:textId="21C91422" w:rsidR="00EA2FED" w:rsidRDefault="00EA2FED" w:rsidP="00EA2FED">
            <w:pPr>
              <w:jc w:val="both"/>
              <w:rPr>
                <w:rFonts w:ascii="Times New Roman" w:hAnsi="Times New Roman" w:cs="Times New Roman"/>
                <w:sz w:val="22"/>
                <w:szCs w:val="22"/>
                <w:lang w:val="es-CL"/>
              </w:rPr>
            </w:pPr>
            <w:r w:rsidRPr="00507111">
              <w:rPr>
                <w:rFonts w:ascii="Times New Roman" w:hAnsi="Times New Roman" w:cs="Times New Roman"/>
                <w:sz w:val="22"/>
                <w:szCs w:val="22"/>
                <w:lang w:val="es-CL"/>
              </w:rPr>
              <w:t>Figura 4:</w:t>
            </w:r>
            <w:r w:rsidRPr="00323EDB">
              <w:rPr>
                <w:rFonts w:ascii="Times New Roman" w:hAnsi="Times New Roman" w:cs="Times New Roman"/>
                <w:sz w:val="22"/>
                <w:szCs w:val="22"/>
                <w:lang w:val="es-CL"/>
              </w:rPr>
              <w:t xml:space="preserve"> Respuesta de Juan a la pregunta 1.</w:t>
            </w:r>
          </w:p>
        </w:tc>
        <w:tc>
          <w:tcPr>
            <w:tcW w:w="3450" w:type="dxa"/>
          </w:tcPr>
          <w:p w14:paraId="3205A2BA" w14:textId="77777777" w:rsidR="00EA2FED" w:rsidRPr="00323EDB" w:rsidRDefault="00EA2FED" w:rsidP="00EA2F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502AA2EA" wp14:editId="5DED495F">
                  <wp:extent cx="1172451" cy="2063609"/>
                  <wp:effectExtent l="0" t="0" r="8890" b="0"/>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8960" cy="2092666"/>
                          </a:xfrm>
                          <a:prstGeom prst="rect">
                            <a:avLst/>
                          </a:prstGeom>
                          <a:noFill/>
                          <a:ln>
                            <a:noFill/>
                          </a:ln>
                        </pic:spPr>
                      </pic:pic>
                    </a:graphicData>
                  </a:graphic>
                </wp:inline>
              </w:drawing>
            </w:r>
          </w:p>
          <w:p w14:paraId="16862DF8" w14:textId="1D408B3F" w:rsidR="00EA2FED" w:rsidRDefault="00EA2FED" w:rsidP="00EA2F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CL"/>
              </w:rPr>
            </w:pPr>
            <w:r w:rsidRPr="00507111">
              <w:rPr>
                <w:rFonts w:ascii="Times New Roman" w:hAnsi="Times New Roman" w:cs="Times New Roman"/>
                <w:sz w:val="22"/>
                <w:szCs w:val="22"/>
                <w:lang w:val="es-CL"/>
              </w:rPr>
              <w:t>Figura 5:</w:t>
            </w:r>
            <w:r w:rsidRPr="00323EDB">
              <w:rPr>
                <w:rFonts w:ascii="Times New Roman" w:hAnsi="Times New Roman" w:cs="Times New Roman"/>
                <w:sz w:val="22"/>
                <w:szCs w:val="22"/>
                <w:lang w:val="es-CL"/>
              </w:rPr>
              <w:t xml:space="preserve"> Respuesta de Juan a las preguntas 1 y 2.</w:t>
            </w:r>
          </w:p>
        </w:tc>
      </w:tr>
    </w:tbl>
    <w:p w14:paraId="2128B08E" w14:textId="77777777" w:rsidR="00EA2FED" w:rsidRPr="00323EDB" w:rsidRDefault="00EA2FED" w:rsidP="00890FF7">
      <w:pPr>
        <w:spacing w:after="240"/>
        <w:ind w:firstLine="709"/>
        <w:jc w:val="both"/>
        <w:rPr>
          <w:rFonts w:ascii="Times New Roman" w:hAnsi="Times New Roman" w:cs="Times New Roman"/>
          <w:sz w:val="22"/>
          <w:szCs w:val="22"/>
          <w:lang w:val="es-CL"/>
        </w:rPr>
      </w:pPr>
    </w:p>
    <w:p w14:paraId="11E24C6C" w14:textId="4E067659" w:rsidR="00C74125" w:rsidRPr="00323EDB" w:rsidRDefault="00C74125" w:rsidP="00035295">
      <w:pPr>
        <w:spacing w:after="240"/>
        <w:ind w:firstLine="709"/>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t xml:space="preserve">Análisis e interpretación </w:t>
      </w:r>
    </w:p>
    <w:p w14:paraId="319A7964" w14:textId="5F68B31D"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Las preguntas 1 y 2 (Figura 5) exigen un gran margen de maniobra, pues se deben calcular las tasas de crecimiento relativo </w:t>
      </w:r>
      <w:proofErr w:type="spellStart"/>
      <w:r w:rsidRPr="00323EDB">
        <w:rPr>
          <w:rFonts w:ascii="Times New Roman" w:hAnsi="Times New Roman" w:cs="Times New Roman"/>
          <w:i/>
          <w:iCs/>
          <w:sz w:val="22"/>
          <w:szCs w:val="22"/>
          <w:lang w:val="es-CL"/>
        </w:rPr>
        <w:t>r</w:t>
      </w:r>
      <w:r w:rsidRPr="00323EDB">
        <w:rPr>
          <w:rFonts w:ascii="Times New Roman" w:hAnsi="Times New Roman" w:cs="Times New Roman"/>
          <w:i/>
          <w:iCs/>
          <w:sz w:val="22"/>
          <w:szCs w:val="22"/>
          <w:vertAlign w:val="subscript"/>
          <w:lang w:val="es-CL"/>
        </w:rPr>
        <w:t>k</w:t>
      </w:r>
      <w:proofErr w:type="spellEnd"/>
      <w:r w:rsidRPr="00323EDB">
        <w:rPr>
          <w:rFonts w:ascii="Times New Roman" w:hAnsi="Times New Roman" w:cs="Times New Roman"/>
          <w:sz w:val="22"/>
          <w:szCs w:val="22"/>
          <w:lang w:val="es-CL"/>
        </w:rPr>
        <w:t xml:space="preserve">, junto a su promedio </w:t>
      </w:r>
      <w:r w:rsidRPr="00323EDB">
        <w:rPr>
          <w:rFonts w:ascii="Times New Roman" w:hAnsi="Times New Roman" w:cs="Times New Roman"/>
          <w:i/>
          <w:iCs/>
          <w:sz w:val="22"/>
          <w:szCs w:val="22"/>
          <w:lang w:val="es-CL"/>
        </w:rPr>
        <w:t>r</w:t>
      </w:r>
      <w:r w:rsidR="00DC62D9" w:rsidRPr="00323EDB">
        <w:rPr>
          <w:rFonts w:ascii="Times New Roman" w:hAnsi="Times New Roman" w:cs="Times New Roman"/>
          <w:i/>
          <w:iCs/>
          <w:sz w:val="22"/>
          <w:szCs w:val="22"/>
          <w:lang w:val="es-CL"/>
        </w:rPr>
        <w:t>.</w:t>
      </w:r>
      <w:r w:rsidRPr="00323EDB">
        <w:rPr>
          <w:rFonts w:ascii="Times New Roman" w:hAnsi="Times New Roman" w:cs="Times New Roman"/>
          <w:i/>
          <w:iCs/>
          <w:sz w:val="22"/>
          <w:szCs w:val="22"/>
          <w:lang w:val="es-CL"/>
        </w:rPr>
        <w:t xml:space="preserve"> </w:t>
      </w:r>
      <w:r w:rsidR="00DC62D9" w:rsidRPr="00323EDB">
        <w:rPr>
          <w:rFonts w:ascii="Times New Roman" w:hAnsi="Times New Roman" w:cs="Times New Roman"/>
          <w:sz w:val="22"/>
          <w:szCs w:val="22"/>
          <w:lang w:val="es-CL"/>
        </w:rPr>
        <w:t xml:space="preserve">Esto se debería a </w:t>
      </w:r>
      <w:r w:rsidRPr="00323EDB">
        <w:rPr>
          <w:rFonts w:ascii="Times New Roman" w:hAnsi="Times New Roman" w:cs="Times New Roman"/>
          <w:sz w:val="22"/>
          <w:szCs w:val="22"/>
          <w:lang w:val="es-CL"/>
        </w:rPr>
        <w:t xml:space="preserve">una participación semiótica latente, en el sentido de tener que comprender los conceptos involucrados en estas notaciones, lo cual podría considerarse un conector entre las teorías de Blomhøj y ETM, ya que la realidad es idealizada mediante variables o signos en la etapa de sistematización. A partir de las respuestas a las preguntas 1 y 2, inferimos una activación de la génesis semiótica, dado que es necesario interpretar el significado de los signos algebraicos </w:t>
      </w:r>
      <w:r w:rsidRPr="00323EDB">
        <w:rPr>
          <w:rFonts w:ascii="Times New Roman" w:hAnsi="Times New Roman" w:cs="Times New Roman"/>
          <w:i/>
          <w:iCs/>
          <w:sz w:val="22"/>
          <w:szCs w:val="22"/>
          <w:lang w:val="es-CL"/>
        </w:rPr>
        <w:t>r</w:t>
      </w:r>
      <w:r w:rsidRPr="00323EDB">
        <w:rPr>
          <w:rFonts w:ascii="Times New Roman" w:hAnsi="Times New Roman" w:cs="Times New Roman"/>
          <w:sz w:val="22"/>
          <w:szCs w:val="22"/>
          <w:lang w:val="es-CL"/>
        </w:rPr>
        <w:t xml:space="preserve"> y </w:t>
      </w:r>
      <w:proofErr w:type="spellStart"/>
      <w:r w:rsidRPr="00323EDB">
        <w:rPr>
          <w:rFonts w:ascii="Times New Roman" w:hAnsi="Times New Roman" w:cs="Times New Roman"/>
          <w:i/>
          <w:iCs/>
          <w:sz w:val="22"/>
          <w:szCs w:val="22"/>
          <w:lang w:val="es-CL"/>
        </w:rPr>
        <w:t>r</w:t>
      </w:r>
      <w:r w:rsidRPr="00323EDB">
        <w:rPr>
          <w:rFonts w:ascii="Times New Roman" w:hAnsi="Times New Roman" w:cs="Times New Roman"/>
          <w:i/>
          <w:iCs/>
          <w:sz w:val="22"/>
          <w:szCs w:val="22"/>
          <w:vertAlign w:val="subscript"/>
          <w:lang w:val="es-CL"/>
        </w:rPr>
        <w:t>k</w:t>
      </w:r>
      <w:proofErr w:type="spellEnd"/>
      <w:r w:rsidR="00DC62D9" w:rsidRPr="00323EDB">
        <w:rPr>
          <w:rFonts w:ascii="Times New Roman" w:hAnsi="Times New Roman" w:cs="Times New Roman"/>
          <w:sz w:val="22"/>
          <w:szCs w:val="22"/>
          <w:lang w:val="es-CL"/>
        </w:rPr>
        <w:t xml:space="preserve">. Además, se activa </w:t>
      </w:r>
      <w:r w:rsidRPr="00323EDB">
        <w:rPr>
          <w:rFonts w:ascii="Times New Roman" w:hAnsi="Times New Roman" w:cs="Times New Roman"/>
          <w:sz w:val="22"/>
          <w:szCs w:val="22"/>
          <w:lang w:val="es-CL"/>
        </w:rPr>
        <w:t xml:space="preserve">la génesis instrumental con el fin de construir y visualizar los conceptos que representan (tasas de crecimiento relativo y su promedio). Es decir, hubo una de circulación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el fin de configurar la conceptualización y comprensión de las nociones involucradas a través de la tabulación numérica de sus valores, sin necesariamente un objetivo de validación, así como también explicar e identificar las componentes a través de la mencionada representación semiótica. La</w:t>
      </w:r>
      <w:r w:rsidR="00D96995" w:rsidRPr="00323EDB">
        <w:rPr>
          <w:rFonts w:ascii="Times New Roman" w:hAnsi="Times New Roman" w:cs="Times New Roman"/>
          <w:sz w:val="22"/>
          <w:szCs w:val="22"/>
          <w:lang w:val="es-CL"/>
        </w:rPr>
        <w:t>s</w:t>
      </w:r>
      <w:r w:rsidRPr="00323EDB">
        <w:rPr>
          <w:rFonts w:ascii="Times New Roman" w:hAnsi="Times New Roman" w:cs="Times New Roman"/>
          <w:sz w:val="22"/>
          <w:szCs w:val="22"/>
          <w:lang w:val="es-CL"/>
        </w:rPr>
        <w:t xml:space="preserve"> respuesta</w:t>
      </w:r>
      <w:r w:rsidR="00D96995" w:rsidRPr="00323EDB">
        <w:rPr>
          <w:rFonts w:ascii="Times New Roman" w:hAnsi="Times New Roman" w:cs="Times New Roman"/>
          <w:sz w:val="22"/>
          <w:szCs w:val="22"/>
          <w:lang w:val="es-CL"/>
        </w:rPr>
        <w:t>s</w:t>
      </w:r>
      <w:r w:rsidRPr="00323EDB">
        <w:rPr>
          <w:rFonts w:ascii="Times New Roman" w:hAnsi="Times New Roman" w:cs="Times New Roman"/>
          <w:sz w:val="22"/>
          <w:szCs w:val="22"/>
          <w:lang w:val="es-CL"/>
        </w:rPr>
        <w:t xml:space="preserve"> se posiciona</w:t>
      </w:r>
      <w:r w:rsidR="00D96995" w:rsidRPr="00323EDB">
        <w:rPr>
          <w:rFonts w:ascii="Times New Roman" w:hAnsi="Times New Roman" w:cs="Times New Roman"/>
          <w:sz w:val="22"/>
          <w:szCs w:val="22"/>
          <w:lang w:val="es-CL"/>
        </w:rPr>
        <w:t>n</w:t>
      </w:r>
      <w:r w:rsidRPr="00323EDB">
        <w:rPr>
          <w:rFonts w:ascii="Times New Roman" w:hAnsi="Times New Roman" w:cs="Times New Roman"/>
          <w:sz w:val="22"/>
          <w:szCs w:val="22"/>
          <w:lang w:val="es-CL"/>
        </w:rPr>
        <w:t xml:space="preserve"> en el paradigma AG, ya que involucra</w:t>
      </w:r>
      <w:r w:rsidR="00D96995" w:rsidRPr="00323EDB">
        <w:rPr>
          <w:rFonts w:ascii="Times New Roman" w:hAnsi="Times New Roman" w:cs="Times New Roman"/>
          <w:sz w:val="22"/>
          <w:szCs w:val="22"/>
          <w:lang w:val="es-CL"/>
        </w:rPr>
        <w:t>n</w:t>
      </w:r>
      <w:r w:rsidRPr="00323EDB">
        <w:rPr>
          <w:rFonts w:ascii="Times New Roman" w:hAnsi="Times New Roman" w:cs="Times New Roman"/>
          <w:sz w:val="22"/>
          <w:szCs w:val="22"/>
          <w:lang w:val="es-CL"/>
        </w:rPr>
        <w:t xml:space="preserve"> un trabajo de tipo perceptivo basado en la tabulación numérica, lo cual apoya la comprensión de los conceptos y permite interpretaciones basadas en el mundo real, conectando así el modelo con la realidad del problema estudiado. El análisis anterior evidencia una conexión </w:t>
      </w:r>
      <w:r w:rsidR="00D96995" w:rsidRPr="00323EDB">
        <w:rPr>
          <w:rFonts w:ascii="Times New Roman" w:hAnsi="Times New Roman" w:cs="Times New Roman"/>
          <w:sz w:val="22"/>
          <w:szCs w:val="22"/>
          <w:lang w:val="es-CL"/>
        </w:rPr>
        <w:t>entre</w:t>
      </w:r>
      <w:r w:rsidRPr="00323EDB">
        <w:rPr>
          <w:rFonts w:ascii="Times New Roman" w:hAnsi="Times New Roman" w:cs="Times New Roman"/>
          <w:sz w:val="22"/>
          <w:szCs w:val="22"/>
          <w:lang w:val="es-CL"/>
        </w:rPr>
        <w:t xml:space="preserve"> la circulación</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a través del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xml:space="preserve"> en el ETM, con las etapas de sistematización y matematización del ciclo de Blomhøj.</w:t>
      </w:r>
    </w:p>
    <w:p w14:paraId="59F10989"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A pesar de la dificultad de la tarea y de que la mayoría de los estudiantes no llegó a la respuesta correcta, el grupo que representa Juan logró responder a lo solicitado; ver Figura 6.</w:t>
      </w:r>
    </w:p>
    <w:p w14:paraId="161D4DD8" w14:textId="77777777" w:rsidR="00C74125" w:rsidRPr="00F546B3" w:rsidRDefault="00C74125" w:rsidP="00936AF9">
      <w:pPr>
        <w:spacing w:after="120"/>
        <w:ind w:firstLine="709"/>
        <w:rPr>
          <w:rFonts w:ascii="Times New Roman" w:eastAsia="Times New Roman" w:hAnsi="Times New Roman" w:cs="Times New Roman"/>
          <w:b/>
          <w:bCs/>
          <w:sz w:val="22"/>
          <w:szCs w:val="22"/>
          <w:lang w:val="es-CL"/>
        </w:rPr>
      </w:pPr>
      <w:r w:rsidRPr="00F546B3">
        <w:rPr>
          <w:rFonts w:ascii="Times New Roman" w:eastAsia="Times New Roman" w:hAnsi="Times New Roman" w:cs="Times New Roman"/>
          <w:b/>
          <w:bCs/>
          <w:sz w:val="22"/>
          <w:szCs w:val="22"/>
          <w:lang w:val="es-CL"/>
        </w:rPr>
        <w:t>Figura 6</w:t>
      </w:r>
    </w:p>
    <w:p w14:paraId="13D32C7B" w14:textId="77777777" w:rsidR="00035295" w:rsidRPr="00F546B3" w:rsidRDefault="00C74125" w:rsidP="00936AF9">
      <w:pPr>
        <w:spacing w:after="120"/>
        <w:ind w:firstLine="709"/>
        <w:rPr>
          <w:rFonts w:ascii="Times New Roman" w:eastAsia="Times New Roman" w:hAnsi="Times New Roman" w:cs="Times New Roman"/>
          <w:bCs/>
          <w:i/>
          <w:sz w:val="22"/>
          <w:szCs w:val="22"/>
          <w:lang w:val="es-CL"/>
        </w:rPr>
      </w:pPr>
      <w:r w:rsidRPr="00F546B3">
        <w:rPr>
          <w:rFonts w:ascii="Times New Roman" w:eastAsia="Times New Roman" w:hAnsi="Times New Roman" w:cs="Times New Roman"/>
          <w:bCs/>
          <w:i/>
          <w:sz w:val="22"/>
          <w:szCs w:val="22"/>
          <w:lang w:val="es-CL"/>
        </w:rPr>
        <w:t>Respuesta de Juan en el ítem 3</w:t>
      </w:r>
    </w:p>
    <w:p w14:paraId="33954016" w14:textId="63F39CCC" w:rsidR="00C74125" w:rsidRPr="00323EDB" w:rsidRDefault="00C74125" w:rsidP="00035295">
      <w:pPr>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39E47380" wp14:editId="5CD63CB9">
            <wp:extent cx="2986908" cy="1545505"/>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99666" cy="1603849"/>
                    </a:xfrm>
                    <a:prstGeom prst="rect">
                      <a:avLst/>
                    </a:prstGeom>
                    <a:solidFill>
                      <a:srgbClr val="FFFFFF"/>
                    </a:solidFill>
                    <a:ln>
                      <a:noFill/>
                    </a:ln>
                  </pic:spPr>
                </pic:pic>
              </a:graphicData>
            </a:graphic>
          </wp:inline>
        </w:drawing>
      </w:r>
    </w:p>
    <w:p w14:paraId="44A9FD0D" w14:textId="77777777" w:rsidR="00C74125" w:rsidRPr="00323EDB" w:rsidRDefault="00C74125" w:rsidP="00035295">
      <w:pPr>
        <w:spacing w:after="240"/>
        <w:jc w:val="both"/>
        <w:rPr>
          <w:rFonts w:ascii="Times New Roman" w:hAnsi="Times New Roman" w:cs="Times New Roman"/>
          <w:sz w:val="22"/>
          <w:szCs w:val="22"/>
          <w:lang w:val="es-CL"/>
        </w:rPr>
      </w:pPr>
    </w:p>
    <w:p w14:paraId="485DC6F2" w14:textId="56F9F09D"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Pensamos que el hecho de que la tarea fuera guiada</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a lo largo del enunciado hasta la pregunta 3, permitió una mejor comprensión de este grupo de estudiantes que logró obtener el modelo. Particularmente, la pregunta 3 invita al estudiante a realizar un supuesto adicional, a saber, que la tasa de crecimiento relativa es constante e igual al promedio de dichas cantidades</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previamente calculadas en base a los datos, lo cual conduce al modelo (ver Fig. 6). Esto se podría interpretar como una posible conexión entre el conocimiento teórico o referencial, que es una componente del plano epistemológico del ETM (Fig. 1), con los datos y teoría concernientes al dominio de investigación, que están en el centro del ciclo de modelización de </w:t>
      </w:r>
      <w:proofErr w:type="spellStart"/>
      <w:r w:rsidRPr="00323EDB">
        <w:rPr>
          <w:rFonts w:ascii="Times New Roman" w:hAnsi="Times New Roman" w:cs="Times New Roman"/>
          <w:sz w:val="22"/>
          <w:szCs w:val="22"/>
          <w:lang w:val="es-CL"/>
        </w:rPr>
        <w:t>Blomhoj</w:t>
      </w:r>
      <w:proofErr w:type="spellEnd"/>
      <w:r w:rsidRPr="00323EDB">
        <w:rPr>
          <w:rFonts w:ascii="Times New Roman" w:hAnsi="Times New Roman" w:cs="Times New Roman"/>
          <w:sz w:val="22"/>
          <w:szCs w:val="22"/>
          <w:lang w:val="es-CL"/>
        </w:rPr>
        <w:t xml:space="preserve"> (Fig. 2). En efecto, en la pregunta 3, el estudiante tendría que descifrar un supuesto teórico del dominio de investigación del problema real y traducirlo en términos de trabajo matemático, posicionado en el paradigma AG, activando circulaciones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el fin de lograr la interpretación y construcción del supuesto mencionado para lograr matematizarlo.</w:t>
      </w:r>
    </w:p>
    <w:p w14:paraId="0CB36193" w14:textId="4EAC4510"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Posteriormente, el estudiante calcula las estimaciones solicitadas en la pregunta 4, presenta</w:t>
      </w:r>
      <w:r w:rsidR="00D96995" w:rsidRPr="00323EDB">
        <w:rPr>
          <w:rFonts w:ascii="Times New Roman" w:hAnsi="Times New Roman" w:cs="Times New Roman"/>
          <w:sz w:val="22"/>
          <w:szCs w:val="22"/>
          <w:lang w:val="es-CL"/>
        </w:rPr>
        <w:t>ndo</w:t>
      </w:r>
      <w:r w:rsidRPr="00323EDB">
        <w:rPr>
          <w:rFonts w:ascii="Times New Roman" w:hAnsi="Times New Roman" w:cs="Times New Roman"/>
          <w:sz w:val="22"/>
          <w:szCs w:val="22"/>
          <w:lang w:val="es-CL"/>
        </w:rPr>
        <w:t xml:space="preserve"> una tabulación de los valores de los tamaños de la población calculados a partir del modelo. Adicionalmente, a pesar de que no se le pedía, esboza un gráfico a mano alzada, considerado como un artefacto instrumental, enfatizando nuevamente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un trabajo localizado en el paradigma AG, ya que se propicia la construcción hacia la visualización e interpretación de los resultados. Si bien es cierto el gráfico no proporciona una visualización ideal, esta es una buena aproximación, ya que se logra apreciar que las curvas de crecimiento real y simulado están relativamente cercanas la una de la otra (ver Figura 7), dando sentido y utilidad a la aplicación del modelo.</w:t>
      </w:r>
    </w:p>
    <w:p w14:paraId="2A0634D1" w14:textId="77777777" w:rsidR="00C74125" w:rsidRPr="00F546B3" w:rsidRDefault="00C74125" w:rsidP="00936AF9">
      <w:pPr>
        <w:spacing w:after="120"/>
        <w:ind w:firstLine="709"/>
        <w:rPr>
          <w:rFonts w:ascii="Times New Roman" w:eastAsia="Times New Roman" w:hAnsi="Times New Roman" w:cs="Times New Roman"/>
          <w:b/>
          <w:bCs/>
          <w:sz w:val="22"/>
          <w:szCs w:val="22"/>
          <w:lang w:val="es-CL"/>
        </w:rPr>
      </w:pPr>
      <w:r w:rsidRPr="00F546B3">
        <w:rPr>
          <w:rFonts w:ascii="Times New Roman" w:eastAsia="Times New Roman" w:hAnsi="Times New Roman" w:cs="Times New Roman"/>
          <w:b/>
          <w:bCs/>
          <w:sz w:val="22"/>
          <w:szCs w:val="22"/>
          <w:lang w:val="es-CL"/>
        </w:rPr>
        <w:t>Figura 7</w:t>
      </w:r>
    </w:p>
    <w:p w14:paraId="187006CF" w14:textId="126AE5FF" w:rsidR="00C74125" w:rsidRPr="00F546B3" w:rsidRDefault="00C74125" w:rsidP="00936AF9">
      <w:pPr>
        <w:spacing w:after="120"/>
        <w:ind w:firstLine="709"/>
        <w:rPr>
          <w:rFonts w:ascii="Times New Roman" w:eastAsia="Times New Roman" w:hAnsi="Times New Roman" w:cs="Times New Roman"/>
          <w:bCs/>
          <w:i/>
          <w:sz w:val="22"/>
          <w:szCs w:val="22"/>
          <w:lang w:val="es-CL"/>
        </w:rPr>
      </w:pPr>
      <w:r w:rsidRPr="00F546B3">
        <w:rPr>
          <w:rFonts w:ascii="Times New Roman" w:eastAsia="Times New Roman" w:hAnsi="Times New Roman" w:cs="Times New Roman"/>
          <w:bCs/>
          <w:i/>
          <w:sz w:val="22"/>
          <w:szCs w:val="22"/>
          <w:lang w:val="es-CL"/>
        </w:rPr>
        <w:t>Estimaciones de la población en base al modelo</w:t>
      </w:r>
    </w:p>
    <w:p w14:paraId="64A5A6DE" w14:textId="4B24ECD9" w:rsidR="00C74125" w:rsidRPr="00323EDB" w:rsidRDefault="00C74125" w:rsidP="00035295">
      <w:pPr>
        <w:spacing w:after="240"/>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0C2FD33D" wp14:editId="31D28577">
            <wp:extent cx="3238302" cy="1493520"/>
            <wp:effectExtent l="0" t="0" r="63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43178" cy="1495769"/>
                    </a:xfrm>
                    <a:prstGeom prst="rect">
                      <a:avLst/>
                    </a:prstGeom>
                    <a:solidFill>
                      <a:srgbClr val="FFFFFF"/>
                    </a:solidFill>
                    <a:ln>
                      <a:noFill/>
                    </a:ln>
                  </pic:spPr>
                </pic:pic>
              </a:graphicData>
            </a:graphic>
          </wp:inline>
        </w:drawing>
      </w:r>
    </w:p>
    <w:p w14:paraId="12DC3862"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Los cálculos de la pregunta 4 constituyen parte importante del análisis matemático del ciclo de Blomhøj, aspecto que consideramos fundamental para conectar el mundo real con el trabajo matemático del estudiante,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con su ETM personal. Esta conexión permite, a su vez, establecer que la población se duplicará en cuatro décadas más aproximadamente, lo que constituye una inferencia en base a los resultados, otro aspecto importante del ciclo.</w:t>
      </w:r>
    </w:p>
    <w:p w14:paraId="300ECA49"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En relación al plano epistemológico, se utilizan diversos representámenes o registros de representación semiótica (tabla de datos, formulación de los supuestos, variables y fórmula general del modelo); se utiliza además calculadora (artefacto); el ETM de referencia se enmarca dentro del análisis real, a través de un trabajo matemático basado en cálculos de tipo aritmético (ver Figuras 3-7) para la obtención de los resultados, junto a posibles validaciones exploratorias basadas en registros gráficos-aritméticos, dado que se graficarían y tabularían los valores del modelo. Por otro lado, se calculan los errores relativos de aproximación del modelo con respecto a los datos, también a modo de validación exploratoria (etapa de interpretación/evaluación y validación del modelo) y se determinan predicciones en base al modelo (acción-visión). En resumen, a lo largo de las respuestas del estudiante, se identifica un trabajo posicionado en el paradigma AG, con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dado que se favorecen interpretaciones a través de un trabajo instrumentado a partir de registros gráficos-numéricos.</w:t>
      </w:r>
    </w:p>
    <w:p w14:paraId="551272C5" w14:textId="41E2555F"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En relación al plano cognitivo, el estudiante debió desarrollar la visualización y construcción para interpretar y descifrar los signos, y así lograr estructurar internamente la información proveída, particularmente la representación de los objetos (fórmula de recurrencia del modelo, tasa de crecimiento relativo, tamaño de la población) y relaciones involucradas (fórmula general del modelo y de la tasa de crecimiento relativo), con el fin de lograr la obtención de una fórmula para el modelo discreto exponencial (matematización y obtención del sistema matemático). Adicionalmente, el estudiante debió desarrollar la construcción para calcular las estimaciones/resultados en base en el modelo (análisis matemático),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xml:space="preserve">, el estudiante activa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como se mencionó anteriormente. Finalmente, el desarrollo teórico es ineludible, dada la teoría existente detrás del modelo, ya que a pesar de que no se aplica un razonamiento deductivo para la obtención de su solución analítica ni de su comportamiento asintótico a largo plazo (convergencia/divergencia de la solución del modelo), al dar respuesta a la predicción del tiempo de duplicación del tamaño de la población, se podría considerar como una prueba experimental del comportamiento a largo plazo, lo cual aporta a la comprensión de la dinámica de la población. En este sentido, se puede observar la interacción que posee lo anterior en el tránsito por ciclo, particularmente a través de la interpretación/evaluación y validación.</w:t>
      </w:r>
    </w:p>
    <w:p w14:paraId="7F7FAD1F" w14:textId="47CD4546" w:rsidR="00C74125" w:rsidRPr="00CC46D4" w:rsidRDefault="00CC46D4" w:rsidP="00035295">
      <w:pPr>
        <w:jc w:val="both"/>
        <w:rPr>
          <w:rFonts w:ascii="Times New Roman" w:hAnsi="Times New Roman" w:cs="Times New Roman"/>
          <w:b/>
          <w:sz w:val="22"/>
          <w:szCs w:val="22"/>
          <w:lang w:val="es-CL"/>
        </w:rPr>
      </w:pPr>
      <w:r w:rsidRPr="00CC46D4">
        <w:rPr>
          <w:rFonts w:ascii="Times New Roman" w:hAnsi="Times New Roman" w:cs="Times New Roman"/>
          <w:b/>
          <w:sz w:val="22"/>
          <w:szCs w:val="22"/>
          <w:lang w:val="es-CL"/>
        </w:rPr>
        <w:t>Figura 8</w:t>
      </w:r>
    </w:p>
    <w:p w14:paraId="6ED9A041" w14:textId="2A805849" w:rsidR="00C74125" w:rsidRPr="00323EDB" w:rsidRDefault="00C74125" w:rsidP="00035295">
      <w:pPr>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t xml:space="preserve"> Conexión </w:t>
      </w:r>
      <w:r w:rsidR="00D90F57" w:rsidRPr="00323EDB">
        <w:rPr>
          <w:rFonts w:ascii="Times New Roman" w:hAnsi="Times New Roman" w:cs="Times New Roman"/>
          <w:i/>
          <w:sz w:val="22"/>
          <w:szCs w:val="22"/>
          <w:lang w:val="es-CL"/>
        </w:rPr>
        <w:t>entre el ciclo</w:t>
      </w:r>
      <w:r w:rsidRPr="00323EDB">
        <w:rPr>
          <w:rFonts w:ascii="Times New Roman" w:hAnsi="Times New Roman" w:cs="Times New Roman"/>
          <w:i/>
          <w:sz w:val="22"/>
          <w:szCs w:val="22"/>
          <w:lang w:val="es-CL"/>
        </w:rPr>
        <w:t xml:space="preserve"> de Blomhøj y el ETM.</w:t>
      </w:r>
    </w:p>
    <w:p w14:paraId="3FC9C882" w14:textId="2440558F" w:rsidR="00C74125" w:rsidRPr="00323EDB" w:rsidRDefault="00C74125" w:rsidP="00035295">
      <w:pPr>
        <w:spacing w:after="240"/>
        <w:jc w:val="both"/>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21C7878E" wp14:editId="39B89344">
            <wp:extent cx="4671060" cy="2893627"/>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22240" cy="2925332"/>
                    </a:xfrm>
                    <a:prstGeom prst="rect">
                      <a:avLst/>
                    </a:prstGeom>
                    <a:solidFill>
                      <a:srgbClr val="FFFFFF"/>
                    </a:solidFill>
                    <a:ln>
                      <a:noFill/>
                    </a:ln>
                  </pic:spPr>
                </pic:pic>
              </a:graphicData>
            </a:graphic>
          </wp:inline>
        </w:drawing>
      </w:r>
    </w:p>
    <w:p w14:paraId="739BA832" w14:textId="4C57DC65" w:rsidR="00C74125" w:rsidRPr="00323EDB" w:rsidRDefault="00BC4620" w:rsidP="00035295">
      <w:pPr>
        <w:spacing w:after="240"/>
        <w:ind w:firstLine="709"/>
        <w:jc w:val="both"/>
        <w:rPr>
          <w:rFonts w:ascii="Times New Roman" w:hAnsi="Times New Roman" w:cs="Times New Roman"/>
          <w:sz w:val="22"/>
          <w:szCs w:val="22"/>
          <w:lang w:val="es-CL"/>
        </w:rPr>
      </w:pPr>
      <w:r>
        <w:rPr>
          <w:rFonts w:ascii="Times New Roman" w:hAnsi="Times New Roman" w:cs="Times New Roman"/>
          <w:sz w:val="22"/>
          <w:szCs w:val="22"/>
          <w:lang w:val="es-CL"/>
        </w:rPr>
        <w:t xml:space="preserve">Para resumir, en base </w:t>
      </w:r>
      <w:r w:rsidR="00EA2FED">
        <w:rPr>
          <w:rFonts w:ascii="Times New Roman" w:hAnsi="Times New Roman" w:cs="Times New Roman"/>
          <w:sz w:val="22"/>
          <w:szCs w:val="22"/>
          <w:lang w:val="es-CL"/>
        </w:rPr>
        <w:t>a la figura</w:t>
      </w:r>
      <w:r w:rsidR="00CC46D4">
        <w:rPr>
          <w:rFonts w:ascii="Times New Roman" w:hAnsi="Times New Roman" w:cs="Times New Roman"/>
          <w:sz w:val="22"/>
          <w:szCs w:val="22"/>
          <w:lang w:val="es-CL"/>
        </w:rPr>
        <w:t xml:space="preserve"> 8</w:t>
      </w:r>
      <w:r w:rsidR="00C74125" w:rsidRPr="00323EDB">
        <w:rPr>
          <w:rFonts w:ascii="Times New Roman" w:hAnsi="Times New Roman" w:cs="Times New Roman"/>
          <w:sz w:val="22"/>
          <w:szCs w:val="22"/>
          <w:lang w:val="es-CL"/>
        </w:rPr>
        <w:t xml:space="preserve">, </w:t>
      </w:r>
      <w:r w:rsidR="00D90F57" w:rsidRPr="00323EDB">
        <w:rPr>
          <w:rFonts w:ascii="Times New Roman" w:hAnsi="Times New Roman" w:cs="Times New Roman"/>
          <w:sz w:val="22"/>
          <w:szCs w:val="22"/>
          <w:lang w:val="es-CL"/>
        </w:rPr>
        <w:t>tenemos que</w:t>
      </w:r>
      <w:r w:rsidR="00C74125" w:rsidRPr="00323EDB">
        <w:rPr>
          <w:rFonts w:ascii="Times New Roman" w:hAnsi="Times New Roman" w:cs="Times New Roman"/>
          <w:sz w:val="22"/>
          <w:szCs w:val="22"/>
          <w:lang w:val="es-CL"/>
        </w:rPr>
        <w:t>:</w:t>
      </w:r>
    </w:p>
    <w:p w14:paraId="35907C2D" w14:textId="1357F2B8" w:rsidR="00C74125" w:rsidRPr="00323EDB" w:rsidRDefault="00C74125" w:rsidP="00035295">
      <w:pPr>
        <w:pStyle w:val="Prrafodelista1"/>
        <w:numPr>
          <w:ilvl w:val="0"/>
          <w:numId w:val="8"/>
        </w:numPr>
        <w:spacing w:after="240" w:line="240" w:lineRule="auto"/>
        <w:rPr>
          <w:sz w:val="22"/>
          <w:szCs w:val="22"/>
          <w:lang w:val="es-CL"/>
        </w:rPr>
      </w:pPr>
      <w:r w:rsidRPr="00323EDB">
        <w:rPr>
          <w:sz w:val="22"/>
          <w:szCs w:val="22"/>
          <w:lang w:val="es-CL"/>
        </w:rPr>
        <w:t xml:space="preserve">La formulación del problema podría desarrollar el trabajo matemático, pues considera los </w:t>
      </w:r>
      <w:r w:rsidR="00D90F57" w:rsidRPr="00323EDB">
        <w:rPr>
          <w:sz w:val="22"/>
          <w:szCs w:val="22"/>
          <w:lang w:val="es-CL"/>
        </w:rPr>
        <w:t>d</w:t>
      </w:r>
      <w:r w:rsidRPr="00323EDB">
        <w:rPr>
          <w:sz w:val="22"/>
          <w:szCs w:val="22"/>
          <w:lang w:val="es-CL"/>
        </w:rPr>
        <w:t xml:space="preserve">atos y la </w:t>
      </w:r>
      <w:r w:rsidR="00D90F57" w:rsidRPr="00323EDB">
        <w:rPr>
          <w:sz w:val="22"/>
          <w:szCs w:val="22"/>
          <w:lang w:val="es-CL"/>
        </w:rPr>
        <w:t>t</w:t>
      </w:r>
      <w:r w:rsidRPr="00323EDB">
        <w:rPr>
          <w:sz w:val="22"/>
          <w:szCs w:val="22"/>
          <w:lang w:val="es-CL"/>
        </w:rPr>
        <w:t>eoría</w:t>
      </w:r>
      <w:r w:rsidR="00D90F57" w:rsidRPr="00323EDB">
        <w:rPr>
          <w:sz w:val="22"/>
          <w:szCs w:val="22"/>
          <w:lang w:val="es-CL"/>
        </w:rPr>
        <w:t xml:space="preserve">, ubicados al centro </w:t>
      </w:r>
      <w:r w:rsidRPr="00323EDB">
        <w:rPr>
          <w:sz w:val="22"/>
          <w:szCs w:val="22"/>
          <w:lang w:val="es-CL"/>
        </w:rPr>
        <w:t>del ciclo de Blomhøj.</w:t>
      </w:r>
    </w:p>
    <w:p w14:paraId="02F8A77D" w14:textId="3007302C"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Los </w:t>
      </w:r>
      <w:r w:rsidR="00D90F57" w:rsidRPr="00323EDB">
        <w:rPr>
          <w:sz w:val="22"/>
          <w:szCs w:val="22"/>
          <w:lang w:val="es-CL"/>
        </w:rPr>
        <w:t>d</w:t>
      </w:r>
      <w:r w:rsidRPr="00323EDB">
        <w:rPr>
          <w:sz w:val="22"/>
          <w:szCs w:val="22"/>
          <w:lang w:val="es-CL"/>
        </w:rPr>
        <w:t>atos</w:t>
      </w:r>
      <w:r w:rsidR="00D90F57" w:rsidRPr="00323EDB">
        <w:rPr>
          <w:sz w:val="22"/>
          <w:szCs w:val="22"/>
          <w:lang w:val="es-CL"/>
        </w:rPr>
        <w:t xml:space="preserve"> (centro del ciclo)</w:t>
      </w:r>
      <w:r w:rsidRPr="00323EDB">
        <w:rPr>
          <w:sz w:val="22"/>
          <w:szCs w:val="22"/>
          <w:lang w:val="es-CL"/>
        </w:rPr>
        <w:t xml:space="preserve"> y referencial tienen una conexión con el plano epistemológico del ETM. Por medio de la matematización, se puede conectar con el plano cognitivo.</w:t>
      </w:r>
    </w:p>
    <w:p w14:paraId="183E116C" w14:textId="77777777"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La noción involucrada es un posible conector con el representamen y visualización.</w:t>
      </w:r>
    </w:p>
    <w:p w14:paraId="202F19C1" w14:textId="1ECFCBB9"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Del análisis de </w:t>
      </w:r>
      <w:r w:rsidR="00D90F57" w:rsidRPr="00323EDB">
        <w:rPr>
          <w:sz w:val="22"/>
          <w:szCs w:val="22"/>
          <w:lang w:val="es-CL"/>
        </w:rPr>
        <w:t>d</w:t>
      </w:r>
      <w:r w:rsidRPr="00323EDB">
        <w:rPr>
          <w:sz w:val="22"/>
          <w:szCs w:val="22"/>
          <w:lang w:val="es-CL"/>
        </w:rPr>
        <w:t>atos</w:t>
      </w:r>
      <w:r w:rsidR="00D90F57" w:rsidRPr="00323EDB">
        <w:rPr>
          <w:sz w:val="22"/>
          <w:szCs w:val="22"/>
          <w:lang w:val="es-CL"/>
        </w:rPr>
        <w:t xml:space="preserve"> (centro</w:t>
      </w:r>
      <w:r w:rsidRPr="00323EDB">
        <w:rPr>
          <w:sz w:val="22"/>
          <w:szCs w:val="22"/>
          <w:lang w:val="es-CL"/>
        </w:rPr>
        <w:t xml:space="preserve"> de</w:t>
      </w:r>
      <w:r w:rsidR="00D90F57" w:rsidRPr="00323EDB">
        <w:rPr>
          <w:sz w:val="22"/>
          <w:szCs w:val="22"/>
          <w:lang w:val="es-CL"/>
        </w:rPr>
        <w:t>l ciclo de</w:t>
      </w:r>
      <w:r w:rsidRPr="00323EDB">
        <w:rPr>
          <w:sz w:val="22"/>
          <w:szCs w:val="22"/>
          <w:lang w:val="es-CL"/>
        </w:rPr>
        <w:t xml:space="preserve"> Blomhøj</w:t>
      </w:r>
      <w:r w:rsidR="00D90F57" w:rsidRPr="00323EDB">
        <w:rPr>
          <w:sz w:val="22"/>
          <w:szCs w:val="22"/>
          <w:lang w:val="es-CL"/>
        </w:rPr>
        <w:t>)</w:t>
      </w:r>
      <w:r w:rsidR="00FD376D" w:rsidRPr="00323EDB">
        <w:rPr>
          <w:sz w:val="22"/>
          <w:szCs w:val="22"/>
          <w:lang w:val="es-CL"/>
        </w:rPr>
        <w:t>,</w:t>
      </w:r>
      <w:r w:rsidRPr="00323EDB">
        <w:rPr>
          <w:sz w:val="22"/>
          <w:szCs w:val="22"/>
          <w:lang w:val="es-CL"/>
        </w:rPr>
        <w:t xml:space="preserve"> se activa la génesis instrumental.</w:t>
      </w:r>
    </w:p>
    <w:p w14:paraId="49FBD076" w14:textId="45C51CCF"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Desde la prueba (pragmática) en el sentido de </w:t>
      </w:r>
      <w:proofErr w:type="spellStart"/>
      <w:r w:rsidRPr="00323EDB">
        <w:rPr>
          <w:sz w:val="22"/>
          <w:szCs w:val="22"/>
          <w:lang w:val="es-CL"/>
        </w:rPr>
        <w:t>Balacheff</w:t>
      </w:r>
      <w:proofErr w:type="spellEnd"/>
      <w:r w:rsidRPr="00323EDB">
        <w:rPr>
          <w:sz w:val="22"/>
          <w:szCs w:val="22"/>
          <w:lang w:val="es-CL"/>
        </w:rPr>
        <w:t>, realizada por el estudiante</w:t>
      </w:r>
      <w:r w:rsidR="00FD376D" w:rsidRPr="00323EDB">
        <w:rPr>
          <w:sz w:val="22"/>
          <w:szCs w:val="22"/>
          <w:lang w:val="es-CL"/>
        </w:rPr>
        <w:t>, se</w:t>
      </w:r>
      <w:r w:rsidRPr="00323EDB">
        <w:rPr>
          <w:sz w:val="22"/>
          <w:szCs w:val="22"/>
          <w:lang w:val="es-CL"/>
        </w:rPr>
        <w:t xml:space="preserve"> daría paso a la interpretación y validación, pudiendo </w:t>
      </w:r>
      <w:r w:rsidR="002D6B25">
        <w:rPr>
          <w:sz w:val="22"/>
          <w:szCs w:val="22"/>
          <w:lang w:val="es-CL"/>
        </w:rPr>
        <w:t>conectar</w:t>
      </w:r>
      <w:r w:rsidRPr="00323EDB">
        <w:rPr>
          <w:sz w:val="22"/>
          <w:szCs w:val="22"/>
          <w:lang w:val="es-CL"/>
        </w:rPr>
        <w:t xml:space="preserve"> al ciclo de Blomhøj por esta vía.  </w:t>
      </w:r>
    </w:p>
    <w:p w14:paraId="2EC3B1C3" w14:textId="1000ED2C"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Consideramos</w:t>
      </w:r>
      <w:r w:rsidR="00FD376D" w:rsidRPr="00323EDB">
        <w:rPr>
          <w:rFonts w:ascii="Times New Roman" w:hAnsi="Times New Roman" w:cs="Times New Roman"/>
          <w:sz w:val="22"/>
          <w:szCs w:val="22"/>
          <w:lang w:val="es-CL"/>
        </w:rPr>
        <w:t xml:space="preserve"> a</w:t>
      </w:r>
      <w:r w:rsidRPr="00323EDB">
        <w:rPr>
          <w:rFonts w:ascii="Times New Roman" w:hAnsi="Times New Roman" w:cs="Times New Roman"/>
          <w:sz w:val="22"/>
          <w:szCs w:val="22"/>
          <w:lang w:val="es-CL"/>
        </w:rPr>
        <w:t xml:space="preserve"> A) y 1) (ver </w:t>
      </w:r>
      <w:r w:rsidR="00CC46D4">
        <w:rPr>
          <w:rFonts w:ascii="Times New Roman" w:hAnsi="Times New Roman" w:cs="Times New Roman"/>
          <w:sz w:val="22"/>
          <w:szCs w:val="22"/>
          <w:lang w:val="es-CL"/>
        </w:rPr>
        <w:t>figura</w:t>
      </w:r>
      <w:r w:rsidRPr="00323EDB">
        <w:rPr>
          <w:rFonts w:ascii="Times New Roman" w:hAnsi="Times New Roman" w:cs="Times New Roman"/>
          <w:sz w:val="22"/>
          <w:szCs w:val="22"/>
          <w:lang w:val="es-CL"/>
        </w:rPr>
        <w:t xml:space="preserve"> 1), dos posibles </w:t>
      </w:r>
      <w:r w:rsidR="00FD376D" w:rsidRPr="00323EDB">
        <w:rPr>
          <w:rFonts w:ascii="Times New Roman" w:hAnsi="Times New Roman" w:cs="Times New Roman"/>
          <w:sz w:val="22"/>
          <w:szCs w:val="22"/>
          <w:lang w:val="es-CL"/>
        </w:rPr>
        <w:t>conexiones entre el ciclo</w:t>
      </w:r>
      <w:r w:rsidRPr="00323EDB">
        <w:rPr>
          <w:rFonts w:ascii="Times New Roman" w:hAnsi="Times New Roman" w:cs="Times New Roman"/>
          <w:sz w:val="22"/>
          <w:szCs w:val="22"/>
          <w:lang w:val="es-CL"/>
        </w:rPr>
        <w:t xml:space="preserve"> de Blomhøj y </w:t>
      </w:r>
      <w:r w:rsidR="00FD376D" w:rsidRPr="00323EDB">
        <w:rPr>
          <w:rFonts w:ascii="Times New Roman" w:hAnsi="Times New Roman" w:cs="Times New Roman"/>
          <w:sz w:val="22"/>
          <w:szCs w:val="22"/>
          <w:lang w:val="es-CL"/>
        </w:rPr>
        <w:t>e</w:t>
      </w:r>
      <w:r w:rsidRPr="00323EDB">
        <w:rPr>
          <w:rFonts w:ascii="Times New Roman" w:hAnsi="Times New Roman" w:cs="Times New Roman"/>
          <w:sz w:val="22"/>
          <w:szCs w:val="22"/>
          <w:lang w:val="es-CL"/>
        </w:rPr>
        <w:t>l ETM</w:t>
      </w:r>
      <w:r w:rsidR="00FD376D"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en donde se puede desarrollar el trabajo matemático de un estudiante, para luego volver a </w:t>
      </w:r>
      <w:r w:rsidR="002D6B25">
        <w:rPr>
          <w:rFonts w:ascii="Times New Roman" w:hAnsi="Times New Roman" w:cs="Times New Roman"/>
          <w:sz w:val="22"/>
          <w:szCs w:val="22"/>
          <w:lang w:val="es-CL"/>
        </w:rPr>
        <w:t>conectarse</w:t>
      </w:r>
      <w:r w:rsidRPr="00323EDB">
        <w:rPr>
          <w:rFonts w:ascii="Times New Roman" w:hAnsi="Times New Roman" w:cs="Times New Roman"/>
          <w:sz w:val="22"/>
          <w:szCs w:val="22"/>
          <w:lang w:val="es-CL"/>
        </w:rPr>
        <w:t xml:space="preserve"> al</w:t>
      </w:r>
      <w:r w:rsidR="002D6B25">
        <w:rPr>
          <w:rFonts w:ascii="Times New Roman" w:hAnsi="Times New Roman" w:cs="Times New Roman"/>
          <w:sz w:val="22"/>
          <w:szCs w:val="22"/>
          <w:lang w:val="es-CL"/>
        </w:rPr>
        <w:t xml:space="preserve"> ciclo</w:t>
      </w:r>
      <w:r w:rsidRPr="00323EDB">
        <w:rPr>
          <w:rFonts w:ascii="Times New Roman" w:hAnsi="Times New Roman" w:cs="Times New Roman"/>
          <w:sz w:val="22"/>
          <w:szCs w:val="22"/>
          <w:lang w:val="es-CL"/>
        </w:rPr>
        <w:t xml:space="preserve"> de Blomhøj en D).</w:t>
      </w:r>
    </w:p>
    <w:p w14:paraId="10DB21BA" w14:textId="129D14EB" w:rsidR="00C74125" w:rsidRPr="00323EDB" w:rsidRDefault="00C74125" w:rsidP="00035295">
      <w:pPr>
        <w:spacing w:after="240"/>
        <w:ind w:firstLine="709"/>
        <w:jc w:val="both"/>
        <w:rPr>
          <w:rFonts w:ascii="Times New Roman" w:eastAsia="Times New Roman" w:hAnsi="Times New Roman" w:cs="Times New Roman"/>
          <w:sz w:val="22"/>
          <w:szCs w:val="22"/>
          <w:lang w:val="es-CL"/>
        </w:rPr>
      </w:pPr>
      <w:r w:rsidRPr="00323EDB">
        <w:rPr>
          <w:rFonts w:ascii="Times New Roman" w:hAnsi="Times New Roman" w:cs="Times New Roman"/>
          <w:sz w:val="22"/>
          <w:szCs w:val="22"/>
          <w:lang w:val="es-CL"/>
        </w:rPr>
        <w:t xml:space="preserve">Se observa que C) posee posibles similitudes con d) del ciclo de Blomhøj, </w:t>
      </w:r>
      <w:r w:rsidR="00035295" w:rsidRPr="00323EDB">
        <w:rPr>
          <w:rFonts w:ascii="Times New Roman" w:hAnsi="Times New Roman" w:cs="Times New Roman"/>
          <w:sz w:val="22"/>
          <w:szCs w:val="22"/>
          <w:lang w:val="es-CL"/>
        </w:rPr>
        <w:t>puesto que,</w:t>
      </w:r>
      <w:r w:rsidRPr="00323EDB">
        <w:rPr>
          <w:rFonts w:ascii="Times New Roman" w:hAnsi="Times New Roman" w:cs="Times New Roman"/>
          <w:sz w:val="22"/>
          <w:szCs w:val="22"/>
          <w:lang w:val="es-CL"/>
        </w:rPr>
        <w:t xml:space="preserve"> al activarse la génesis instrumental, se está desarrollando un análisis matemático, como se puede observar en la tabla realizada por Juan, la cual es utilizada como artefacto instrumental (ver Figura 7), para luego apoyarse de esta en la construcción del gráfico.</w:t>
      </w:r>
    </w:p>
    <w:p w14:paraId="60BF332B" w14:textId="77777777" w:rsidR="00C74125" w:rsidRPr="00323EDB" w:rsidRDefault="00C74125" w:rsidP="00035295">
      <w:pPr>
        <w:spacing w:after="240"/>
        <w:ind w:firstLine="709"/>
        <w:jc w:val="both"/>
        <w:rPr>
          <w:rFonts w:ascii="Times New Roman" w:eastAsia="Times New Roman" w:hAnsi="Times New Roman" w:cs="Times New Roman"/>
          <w:sz w:val="22"/>
          <w:szCs w:val="22"/>
          <w:lang w:val="es-CL"/>
        </w:rPr>
      </w:pPr>
    </w:p>
    <w:p w14:paraId="13A3AD45" w14:textId="60662918" w:rsidR="235DF6B6" w:rsidRPr="00323EDB" w:rsidRDefault="235DF6B6" w:rsidP="00035295">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b/>
          <w:bCs/>
          <w:sz w:val="22"/>
          <w:szCs w:val="22"/>
          <w:lang w:val="es-CL"/>
        </w:rPr>
        <w:t>CONCLUSION</w:t>
      </w:r>
      <w:r w:rsidR="002D6B25">
        <w:rPr>
          <w:rFonts w:ascii="Times New Roman" w:eastAsia="Times New Roman" w:hAnsi="Times New Roman" w:cs="Times New Roman"/>
          <w:b/>
          <w:bCs/>
          <w:sz w:val="22"/>
          <w:szCs w:val="22"/>
          <w:lang w:val="es-CL"/>
        </w:rPr>
        <w:t>E</w:t>
      </w:r>
      <w:r w:rsidRPr="00323EDB">
        <w:rPr>
          <w:rFonts w:ascii="Times New Roman" w:eastAsia="Times New Roman" w:hAnsi="Times New Roman" w:cs="Times New Roman"/>
          <w:b/>
          <w:bCs/>
          <w:sz w:val="22"/>
          <w:szCs w:val="22"/>
          <w:lang w:val="es-CL"/>
        </w:rPr>
        <w:t>S</w:t>
      </w:r>
    </w:p>
    <w:p w14:paraId="7644AED8" w14:textId="6E5D2FC7"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bCs/>
          <w:sz w:val="22"/>
          <w:szCs w:val="22"/>
          <w:lang w:val="es-CL"/>
        </w:rPr>
        <w:t xml:space="preserve">En este trabajo hemos planteado la posibilidad de complementar la teoría ETM con el ciclo de modelización de Blomhøj, lo que fue realizado con la identificación de las conexiones de ambos marcos teóricos, investigación que apunta en la dirección de ampliar la discusión de modelizar desde el ETM. Con el fin de someter a prueba esta intersección, diseñamos una tarea de modelización basada en un problema real, aspecto deseable en el último simposio sobre el trabajo matemático ETM6. Dada la alta demanda cognitiva en su resolución, el diseño de la tarea </w:t>
      </w:r>
      <w:r w:rsidRPr="00323EDB">
        <w:rPr>
          <w:rFonts w:ascii="Times New Roman" w:hAnsi="Times New Roman" w:cs="Times New Roman"/>
          <w:sz w:val="22"/>
          <w:szCs w:val="22"/>
          <w:lang w:val="es-CL"/>
        </w:rPr>
        <w:t xml:space="preserve">consideró un enunciado </w:t>
      </w:r>
      <w:r w:rsidR="00404308">
        <w:rPr>
          <w:rFonts w:ascii="Times New Roman" w:hAnsi="Times New Roman" w:cs="Times New Roman"/>
          <w:sz w:val="22"/>
          <w:szCs w:val="22"/>
          <w:lang w:val="es-CL"/>
        </w:rPr>
        <w:t>por medio de distintas preguntas</w:t>
      </w:r>
      <w:r w:rsidR="00DF7B66"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que </w:t>
      </w:r>
      <w:r w:rsidR="00DF7B66" w:rsidRPr="00323EDB">
        <w:rPr>
          <w:rFonts w:ascii="Times New Roman" w:hAnsi="Times New Roman" w:cs="Times New Roman"/>
          <w:sz w:val="22"/>
          <w:szCs w:val="22"/>
          <w:lang w:val="es-CL"/>
        </w:rPr>
        <w:t>abarcó</w:t>
      </w:r>
      <w:r w:rsidRPr="00323EDB">
        <w:rPr>
          <w:rFonts w:ascii="Times New Roman" w:hAnsi="Times New Roman" w:cs="Times New Roman"/>
          <w:sz w:val="22"/>
          <w:szCs w:val="22"/>
          <w:lang w:val="es-CL"/>
        </w:rPr>
        <w:t xml:space="preserve"> la formulación, sistematización, y parte de la matematización</w:t>
      </w:r>
      <w:r w:rsidR="00DF7B66" w:rsidRPr="00323EDB">
        <w:rPr>
          <w:rFonts w:ascii="Times New Roman" w:hAnsi="Times New Roman" w:cs="Times New Roman"/>
          <w:sz w:val="22"/>
          <w:szCs w:val="22"/>
          <w:lang w:val="es-CL"/>
        </w:rPr>
        <w:t xml:space="preserve"> del problema</w:t>
      </w:r>
      <w:r w:rsidRPr="00323EDB">
        <w:rPr>
          <w:rFonts w:ascii="Times New Roman" w:hAnsi="Times New Roman" w:cs="Times New Roman"/>
          <w:sz w:val="22"/>
          <w:szCs w:val="22"/>
          <w:lang w:val="es-CL"/>
        </w:rPr>
        <w:t>.</w:t>
      </w:r>
    </w:p>
    <w:p w14:paraId="7833D160" w14:textId="07FEDF34"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El análisis de la resolución</w:t>
      </w:r>
      <w:r w:rsidR="00DF7B66" w:rsidRPr="00323EDB">
        <w:rPr>
          <w:rFonts w:ascii="Times New Roman" w:hAnsi="Times New Roman" w:cs="Times New Roman"/>
          <w:sz w:val="22"/>
          <w:szCs w:val="22"/>
          <w:lang w:val="es-CL"/>
        </w:rPr>
        <w:t xml:space="preserve"> de la tarea</w:t>
      </w:r>
      <w:r w:rsidRPr="00323EDB">
        <w:rPr>
          <w:rFonts w:ascii="Times New Roman" w:hAnsi="Times New Roman" w:cs="Times New Roman"/>
          <w:sz w:val="22"/>
          <w:szCs w:val="22"/>
          <w:lang w:val="es-CL"/>
        </w:rPr>
        <w:t xml:space="preserve"> evidenció que algunos</w:t>
      </w:r>
      <w:r w:rsidR="00DF7B66"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estudiantes presenta</w:t>
      </w:r>
      <w:r w:rsidR="00DF7B66" w:rsidRPr="00323EDB">
        <w:rPr>
          <w:rFonts w:ascii="Times New Roman" w:hAnsi="Times New Roman" w:cs="Times New Roman"/>
          <w:sz w:val="22"/>
          <w:szCs w:val="22"/>
          <w:lang w:val="es-CL"/>
        </w:rPr>
        <w:t>ro</w:t>
      </w:r>
      <w:r w:rsidRPr="00323EDB">
        <w:rPr>
          <w:rFonts w:ascii="Times New Roman" w:hAnsi="Times New Roman" w:cs="Times New Roman"/>
          <w:sz w:val="22"/>
          <w:szCs w:val="22"/>
          <w:lang w:val="es-CL"/>
        </w:rPr>
        <w:t xml:space="preserve">n dificultad. </w:t>
      </w:r>
      <w:r w:rsidR="00DF7B66" w:rsidRPr="00323EDB">
        <w:rPr>
          <w:rFonts w:ascii="Times New Roman" w:hAnsi="Times New Roman" w:cs="Times New Roman"/>
          <w:sz w:val="22"/>
          <w:szCs w:val="22"/>
          <w:lang w:val="es-CL"/>
        </w:rPr>
        <w:t>Preliminarmente</w:t>
      </w:r>
      <w:r w:rsidRPr="00323EDB">
        <w:rPr>
          <w:rFonts w:ascii="Times New Roman" w:hAnsi="Times New Roman" w:cs="Times New Roman"/>
          <w:sz w:val="22"/>
          <w:szCs w:val="22"/>
          <w:lang w:val="es-CL"/>
        </w:rPr>
        <w:t xml:space="preserve">, esto se debería a que ellos no están habituados a trabajar con modelos en la universidad y dada la dificultad intrínseca del problema. </w:t>
      </w:r>
      <w:r w:rsidR="00DF7B66" w:rsidRPr="00323EDB">
        <w:rPr>
          <w:rFonts w:ascii="Times New Roman" w:hAnsi="Times New Roman" w:cs="Times New Roman"/>
          <w:sz w:val="22"/>
          <w:szCs w:val="22"/>
          <w:lang w:val="es-CL"/>
        </w:rPr>
        <w:t xml:space="preserve">De hecho, la dificultad más </w:t>
      </w:r>
      <w:r w:rsidRPr="00323EDB">
        <w:rPr>
          <w:rFonts w:ascii="Times New Roman" w:hAnsi="Times New Roman" w:cs="Times New Roman"/>
          <w:sz w:val="22"/>
          <w:szCs w:val="22"/>
          <w:lang w:val="es-CL"/>
        </w:rPr>
        <w:t xml:space="preserve">importante es que confundieron la realidad con la matemática, lo cual induciría a pensar que es necesario distinguir adecuadamente entre los datos y la matematización. Sin embargo, el análisis muestra también que una parte de los estudiantes fueron capaces de desarrollar </w:t>
      </w:r>
      <w:r w:rsidR="00DF7B66" w:rsidRPr="00323EDB">
        <w:rPr>
          <w:rFonts w:ascii="Times New Roman" w:hAnsi="Times New Roman" w:cs="Times New Roman"/>
          <w:sz w:val="22"/>
          <w:szCs w:val="22"/>
          <w:lang w:val="es-CL"/>
        </w:rPr>
        <w:t>el</w:t>
      </w:r>
      <w:r w:rsidRPr="00323EDB">
        <w:rPr>
          <w:rFonts w:ascii="Times New Roman" w:hAnsi="Times New Roman" w:cs="Times New Roman"/>
          <w:sz w:val="22"/>
          <w:szCs w:val="22"/>
          <w:lang w:val="es-CL"/>
        </w:rPr>
        <w:t xml:space="preserve"> modelo matemático, lo cual es concordante con el diseño de la tarea, que </w:t>
      </w:r>
      <w:r w:rsidR="002D6B25">
        <w:rPr>
          <w:rFonts w:ascii="Times New Roman" w:hAnsi="Times New Roman" w:cs="Times New Roman"/>
          <w:sz w:val="22"/>
          <w:szCs w:val="22"/>
          <w:lang w:val="es-CL"/>
        </w:rPr>
        <w:t xml:space="preserve">fue guiada </w:t>
      </w:r>
      <w:r w:rsidR="00DF7B66" w:rsidRPr="00323EDB">
        <w:rPr>
          <w:rFonts w:ascii="Times New Roman" w:hAnsi="Times New Roman" w:cs="Times New Roman"/>
          <w:sz w:val="22"/>
          <w:szCs w:val="22"/>
          <w:lang w:val="es-CL"/>
        </w:rPr>
        <w:t>consider</w:t>
      </w:r>
      <w:r w:rsidR="002D6B25">
        <w:rPr>
          <w:rFonts w:ascii="Times New Roman" w:hAnsi="Times New Roman" w:cs="Times New Roman"/>
          <w:sz w:val="22"/>
          <w:szCs w:val="22"/>
          <w:lang w:val="es-CL"/>
        </w:rPr>
        <w:t>ando</w:t>
      </w:r>
      <w:r w:rsidR="00DF7B66" w:rsidRPr="00323EDB">
        <w:rPr>
          <w:rFonts w:ascii="Times New Roman" w:hAnsi="Times New Roman" w:cs="Times New Roman"/>
          <w:sz w:val="22"/>
          <w:szCs w:val="22"/>
          <w:lang w:val="es-CL"/>
        </w:rPr>
        <w:t xml:space="preserve"> los aspectos antes mencionados</w:t>
      </w:r>
      <w:r w:rsidRPr="00323EDB">
        <w:rPr>
          <w:rFonts w:ascii="Times New Roman" w:hAnsi="Times New Roman" w:cs="Times New Roman"/>
          <w:sz w:val="22"/>
          <w:szCs w:val="22"/>
          <w:lang w:val="es-CL"/>
        </w:rPr>
        <w:t>.</w:t>
      </w:r>
    </w:p>
    <w:p w14:paraId="71A6E747" w14:textId="77777777"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En relación a la intersección del ciclo de Blomhøj con el ETM, se ha podido observar que se favorecen ciertas circulaciones a través del trabajo matemático entre diversos componentes del plano epistemológico y cognitivo (representamen</w:t>
      </w:r>
      <w:r w:rsidRPr="00323EDB">
        <w:rPr>
          <w:rFonts w:ascii="Times New Roman" w:hAnsi="Times New Roman" w:cs="Times New Roman"/>
          <w:bCs/>
          <w:sz w:val="22"/>
          <w:szCs w:val="22"/>
          <w:lang w:val="es-CL"/>
        </w:rPr>
        <w:t xml:space="preserve">-visualización, artefactos-construcción), desarrollando fundamentalmente un razonamiento en el plano vertical </w:t>
      </w:r>
      <w:proofErr w:type="spellStart"/>
      <w:r w:rsidRPr="00323EDB">
        <w:rPr>
          <w:rFonts w:ascii="Times New Roman" w:hAnsi="Times New Roman" w:cs="Times New Roman"/>
          <w:bCs/>
          <w:sz w:val="22"/>
          <w:szCs w:val="22"/>
          <w:lang w:val="es-CL"/>
        </w:rPr>
        <w:t>Sem-Ins</w:t>
      </w:r>
      <w:proofErr w:type="spellEnd"/>
      <w:r w:rsidRPr="00323EDB">
        <w:rPr>
          <w:rFonts w:ascii="Times New Roman" w:hAnsi="Times New Roman" w:cs="Times New Roman"/>
          <w:bCs/>
          <w:sz w:val="22"/>
          <w:szCs w:val="22"/>
          <w:lang w:val="es-CL"/>
        </w:rPr>
        <w:t>, proporcionado por el enfoque exploratorio mediante la interpretación, construcción y validación de los supuestos y resultados del modelo, propiciando un trabajo posicionado en el paradigma AG, o sea, un trabajo de tipo perceptivo basado en los enfoques mencionados. Lo anterior se podría deber al diseño de la tarea, que no consideró realizar demostraciones ni usar reglas de cálculo analíticas, lo que habría conducido a un trabajo ubicado en los otros paradigmas del análisis real y al desarrollo de razonamiento en los otros planos verticales del ETM.</w:t>
      </w:r>
    </w:p>
    <w:p w14:paraId="6CDF8DF7" w14:textId="297E69A0"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bCs/>
          <w:sz w:val="22"/>
          <w:szCs w:val="22"/>
          <w:lang w:val="es-CL"/>
        </w:rPr>
        <w:t>Uno de los principales aportes de la presente investigación, es que los resultados sugieren que el ciclo de Blomhøj presentaría conexiones teóricas con el ETM. La primera sería desde la formulación del problema real, ya que este proceso conduce a tener que escoger el campo dentro de las matemáticas donde se va a enmarcar el problema, visualizando inicios de una eventual matematización que no sólo es remitida en un entorno puramente matemático, sino que afecta a la realidad. Esto podría ser una primera entrada al ETM mediante el referencial, que debe ser escogido a través de este proceso. La sistematización produciría una conexión directa con el ETM, dado que conduce a la selección de objetos relevantes, relaciones, e idealización para hacer la</w:t>
      </w:r>
      <w:r w:rsidRPr="00323EDB">
        <w:rPr>
          <w:rFonts w:ascii="Times New Roman" w:hAnsi="Times New Roman" w:cs="Times New Roman"/>
          <w:sz w:val="22"/>
          <w:szCs w:val="22"/>
          <w:lang w:val="es-CL"/>
        </w:rPr>
        <w:t xml:space="preserve"> representación matemática, la cual se haría explícita en esta etapa. Todo el resto de los procesos del ciclo están directamente relacionados al ETM (matematización, análisis matemático, interpretación/evaluación y validación). Por otro lado, creemos que las islas centrales en el ciclo de Blomhøj (datos, experiencia y teoría) tienen estrecha relación con el ETM, ya que estos aspectos podrían contribuir al trabajo matemático para establecer o validar el modelo.</w:t>
      </w:r>
    </w:p>
    <w:p w14:paraId="1E983AC0" w14:textId="17E5939A"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Finalmente, consideramos que los paradigmas de trabajo en este caso, relativos al campo matemático subyacente, comienzan a evidenciarse a partir del proceso de matematización, ya que es donde se hace más explícito el referencial, aunque no podemos descartar que, dependiendo el problema, éstos pudieran manifestarse desde antes, específicamente cuando se formula el problema, mediante supuestos y variables matemáticas. En este sentido, para abordar el problema propuesto, ha sido necesario tomar algunas decisiones sobre las variables a considerar. En términos de Blomhøj (2003), esto se relaciona con la selección de los objetos relevantes e idealización de las variables para hacer posible una representación matemática. Precisamente, en la elección e idealización de las variables, creemos que se produciría la relación con el ETM, específicamente, desde la sistematización, y posiblemente desde la formulación, ya que, como mencionado, estaríamos escogiendo el campo matemático donde se formula el modelo.</w:t>
      </w:r>
    </w:p>
    <w:p w14:paraId="51128A8D" w14:textId="77777777" w:rsidR="00C74125" w:rsidRPr="00323EDB" w:rsidRDefault="00C74125" w:rsidP="00035295">
      <w:pPr>
        <w:spacing w:after="240"/>
        <w:rPr>
          <w:rFonts w:ascii="Times New Roman" w:hAnsi="Times New Roman" w:cs="Times New Roman"/>
          <w:b/>
          <w:lang w:val="es-CL"/>
        </w:rPr>
      </w:pPr>
    </w:p>
    <w:p w14:paraId="78EED0B0" w14:textId="4EA3F7F5" w:rsidR="57A38557" w:rsidRPr="00323EDB" w:rsidRDefault="007019CB"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DECLARACIONES DE CONTRIBUCIONES DE LOS AUTORES.</w:t>
      </w:r>
    </w:p>
    <w:p w14:paraId="5276EC0C" w14:textId="34035BB1" w:rsidR="00D65F98" w:rsidRPr="00323EDB" w:rsidRDefault="00D65F98" w:rsidP="00640661">
      <w:pPr>
        <w:spacing w:after="120"/>
        <w:jc w:val="both"/>
        <w:rPr>
          <w:rFonts w:ascii="Times New Roman" w:hAnsi="Times New Roman" w:cs="Times New Roman"/>
          <w:bCs/>
          <w:sz w:val="22"/>
          <w:szCs w:val="22"/>
          <w:lang w:val="es-CL"/>
        </w:rPr>
      </w:pPr>
      <w:r w:rsidRPr="00323EDB">
        <w:rPr>
          <w:rFonts w:ascii="Times New Roman" w:hAnsi="Times New Roman" w:cs="Times New Roman"/>
          <w:b/>
          <w:bCs/>
          <w:sz w:val="22"/>
          <w:szCs w:val="22"/>
          <w:lang w:val="es-CL"/>
        </w:rPr>
        <w:tab/>
      </w:r>
      <w:r w:rsidRPr="00323EDB">
        <w:rPr>
          <w:rFonts w:ascii="Times New Roman" w:hAnsi="Times New Roman" w:cs="Times New Roman"/>
          <w:bCs/>
          <w:sz w:val="22"/>
          <w:szCs w:val="22"/>
          <w:lang w:val="es-CL"/>
        </w:rPr>
        <w:t>PVH</w:t>
      </w:r>
      <w:r w:rsidR="00640661" w:rsidRPr="00323EDB">
        <w:rPr>
          <w:rFonts w:ascii="Times New Roman" w:hAnsi="Times New Roman" w:cs="Times New Roman"/>
          <w:bCs/>
          <w:sz w:val="22"/>
          <w:szCs w:val="22"/>
          <w:lang w:val="es-CL"/>
        </w:rPr>
        <w:t xml:space="preserve"> y JHA </w:t>
      </w:r>
      <w:r w:rsidRPr="00323EDB">
        <w:rPr>
          <w:rFonts w:ascii="Times New Roman" w:hAnsi="Times New Roman" w:cs="Times New Roman"/>
          <w:bCs/>
          <w:sz w:val="22"/>
          <w:szCs w:val="22"/>
          <w:lang w:val="es-CL"/>
        </w:rPr>
        <w:t>ha</w:t>
      </w:r>
      <w:r w:rsidR="00640661" w:rsidRPr="00323EDB">
        <w:rPr>
          <w:rFonts w:ascii="Times New Roman" w:hAnsi="Times New Roman" w:cs="Times New Roman"/>
          <w:bCs/>
          <w:sz w:val="22"/>
          <w:szCs w:val="22"/>
          <w:lang w:val="es-CL"/>
        </w:rPr>
        <w:t xml:space="preserve">n contribuido </w:t>
      </w:r>
      <w:r w:rsidR="00373405" w:rsidRPr="00323EDB">
        <w:rPr>
          <w:rFonts w:ascii="Times New Roman" w:hAnsi="Times New Roman" w:cs="Times New Roman"/>
          <w:bCs/>
          <w:sz w:val="22"/>
          <w:szCs w:val="22"/>
          <w:lang w:val="es-CL"/>
        </w:rPr>
        <w:t>como experto</w:t>
      </w:r>
      <w:r w:rsidR="00E554AE" w:rsidRPr="00323EDB">
        <w:rPr>
          <w:rFonts w:ascii="Times New Roman" w:hAnsi="Times New Roman" w:cs="Times New Roman"/>
          <w:bCs/>
          <w:sz w:val="22"/>
          <w:szCs w:val="22"/>
          <w:lang w:val="es-CL"/>
        </w:rPr>
        <w:t>s</w:t>
      </w:r>
      <w:r w:rsidR="00373405" w:rsidRPr="00323EDB">
        <w:rPr>
          <w:rFonts w:ascii="Times New Roman" w:hAnsi="Times New Roman" w:cs="Times New Roman"/>
          <w:bCs/>
          <w:sz w:val="22"/>
          <w:szCs w:val="22"/>
          <w:lang w:val="es-CL"/>
        </w:rPr>
        <w:t xml:space="preserve"> en los marcos teóricos </w:t>
      </w:r>
      <w:r w:rsidR="00E554AE" w:rsidRPr="00323EDB">
        <w:rPr>
          <w:rFonts w:ascii="Times New Roman" w:hAnsi="Times New Roman" w:cs="Times New Roman"/>
          <w:bCs/>
          <w:sz w:val="22"/>
          <w:szCs w:val="22"/>
          <w:lang w:val="es-CL"/>
        </w:rPr>
        <w:t>ETM y modelización</w:t>
      </w:r>
      <w:r w:rsidR="00640661" w:rsidRPr="00323EDB">
        <w:rPr>
          <w:rFonts w:ascii="Times New Roman" w:hAnsi="Times New Roman" w:cs="Times New Roman"/>
          <w:bCs/>
          <w:sz w:val="22"/>
          <w:szCs w:val="22"/>
          <w:lang w:val="es-CL"/>
        </w:rPr>
        <w:t>.</w:t>
      </w:r>
    </w:p>
    <w:p w14:paraId="4816F7A6" w14:textId="77777777" w:rsidR="00E554AE" w:rsidRPr="00323EDB" w:rsidRDefault="00D65F98" w:rsidP="007019CB">
      <w:pPr>
        <w:spacing w:after="120"/>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ab/>
        <w:t xml:space="preserve">PCA ha contribuido a la </w:t>
      </w:r>
      <w:r w:rsidR="009D6486" w:rsidRPr="00323EDB">
        <w:rPr>
          <w:rFonts w:ascii="Times New Roman" w:hAnsi="Times New Roman" w:cs="Times New Roman"/>
          <w:bCs/>
          <w:sz w:val="22"/>
          <w:szCs w:val="22"/>
          <w:lang w:val="es-CL"/>
        </w:rPr>
        <w:t xml:space="preserve">toma de datos y </w:t>
      </w:r>
      <w:r w:rsidR="00373405" w:rsidRPr="00323EDB">
        <w:rPr>
          <w:rFonts w:ascii="Times New Roman" w:hAnsi="Times New Roman" w:cs="Times New Roman"/>
          <w:bCs/>
          <w:sz w:val="22"/>
          <w:szCs w:val="22"/>
          <w:lang w:val="es-CL"/>
        </w:rPr>
        <w:t xml:space="preserve">es </w:t>
      </w:r>
      <w:r w:rsidR="009D6486" w:rsidRPr="00323EDB">
        <w:rPr>
          <w:rFonts w:ascii="Times New Roman" w:hAnsi="Times New Roman" w:cs="Times New Roman"/>
          <w:bCs/>
          <w:sz w:val="22"/>
          <w:szCs w:val="22"/>
          <w:lang w:val="es-CL"/>
        </w:rPr>
        <w:t>creador de la tarea de modelación.</w:t>
      </w:r>
    </w:p>
    <w:p w14:paraId="5FEF898A" w14:textId="7FE16DB6" w:rsidR="00D65F98" w:rsidRPr="00323EDB" w:rsidRDefault="00E554AE" w:rsidP="007019CB">
      <w:pPr>
        <w:spacing w:after="120"/>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ab/>
        <w:t>PVH conceptualizó los análisis, la escritura, revisión y edición del manuscrito original</w:t>
      </w:r>
      <w:r w:rsidR="0085128B" w:rsidRPr="00323EDB">
        <w:rPr>
          <w:rFonts w:ascii="Times New Roman" w:hAnsi="Times New Roman" w:cs="Times New Roman"/>
          <w:bCs/>
          <w:sz w:val="22"/>
          <w:szCs w:val="22"/>
          <w:lang w:val="es-CL"/>
        </w:rPr>
        <w:t xml:space="preserve"> y coordinó el grupo de investigación.</w:t>
      </w:r>
    </w:p>
    <w:p w14:paraId="176EF817" w14:textId="006D7353" w:rsidR="57A38557" w:rsidRPr="00323EDB" w:rsidRDefault="00D65F98" w:rsidP="001A3ECC">
      <w:pPr>
        <w:spacing w:after="120"/>
        <w:ind w:firstLine="709"/>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Todos los autores han participado activamente en la discusión</w:t>
      </w:r>
      <w:r w:rsidR="009D6486" w:rsidRPr="00323EDB">
        <w:rPr>
          <w:rFonts w:ascii="Times New Roman" w:hAnsi="Times New Roman" w:cs="Times New Roman"/>
          <w:bCs/>
          <w:sz w:val="22"/>
          <w:szCs w:val="22"/>
          <w:lang w:val="es-CL"/>
        </w:rPr>
        <w:t xml:space="preserve"> </w:t>
      </w:r>
      <w:r w:rsidRPr="00323EDB">
        <w:rPr>
          <w:rFonts w:ascii="Times New Roman" w:hAnsi="Times New Roman" w:cs="Times New Roman"/>
          <w:bCs/>
          <w:sz w:val="22"/>
          <w:szCs w:val="22"/>
          <w:lang w:val="es-CL"/>
        </w:rPr>
        <w:t xml:space="preserve">de los resultados y en las conclusiones, </w:t>
      </w:r>
      <w:r w:rsidR="0085128B" w:rsidRPr="00323EDB">
        <w:rPr>
          <w:rFonts w:ascii="Times New Roman" w:hAnsi="Times New Roman" w:cs="Times New Roman"/>
          <w:bCs/>
          <w:sz w:val="22"/>
          <w:szCs w:val="22"/>
          <w:lang w:val="es-CL"/>
        </w:rPr>
        <w:t xml:space="preserve">aprobando </w:t>
      </w:r>
      <w:r w:rsidRPr="00323EDB">
        <w:rPr>
          <w:rFonts w:ascii="Times New Roman" w:hAnsi="Times New Roman" w:cs="Times New Roman"/>
          <w:bCs/>
          <w:sz w:val="22"/>
          <w:szCs w:val="22"/>
          <w:lang w:val="es-CL"/>
        </w:rPr>
        <w:t>conjuntamente la versión final del trabajo.</w:t>
      </w:r>
    </w:p>
    <w:p w14:paraId="1AC6A23D" w14:textId="77777777" w:rsidR="005613E5" w:rsidRPr="00323EDB" w:rsidRDefault="005613E5" w:rsidP="00354577">
      <w:pPr>
        <w:spacing w:line="360" w:lineRule="auto"/>
        <w:ind w:firstLine="709"/>
        <w:rPr>
          <w:rFonts w:ascii="Times New Roman" w:eastAsia="Times New Roman" w:hAnsi="Times New Roman" w:cs="Times New Roman"/>
          <w:b/>
          <w:bCs/>
          <w:lang w:val="es-CL"/>
        </w:rPr>
      </w:pPr>
    </w:p>
    <w:p w14:paraId="311D58F8" w14:textId="5AF24179" w:rsidR="235DF6B6" w:rsidRPr="00323EDB" w:rsidRDefault="007019CB"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DECLARACIÓN DE DISPONIBILIDAD DE DATOS</w:t>
      </w:r>
    </w:p>
    <w:p w14:paraId="77A10BAD" w14:textId="54CF17B4" w:rsidR="235DF6B6" w:rsidRPr="00323EDB" w:rsidRDefault="007019CB" w:rsidP="00411407">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Los datos que respalden los resultados de este estudio serán proporcionados por la autora Paula Verdugo Hernández, previa solicitud razonable.</w:t>
      </w:r>
    </w:p>
    <w:p w14:paraId="0B59DC3B" w14:textId="57593149" w:rsidR="235DF6B6" w:rsidRPr="00323EDB" w:rsidRDefault="7DE10795" w:rsidP="00411407">
      <w:pPr>
        <w:spacing w:after="12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 </w:t>
      </w:r>
    </w:p>
    <w:p w14:paraId="7A421D82" w14:textId="00CFE6FA" w:rsidR="235DF6B6" w:rsidRPr="00323EDB" w:rsidRDefault="00C74125" w:rsidP="0023117A">
      <w:pPr>
        <w:spacing w:after="120"/>
        <w:ind w:firstLine="709"/>
        <w:rPr>
          <w:rFonts w:ascii="Times New Roman" w:eastAsia="Times New Roman" w:hAnsi="Times New Roman" w:cs="Times New Roman"/>
          <w:b/>
          <w:bCs/>
          <w:lang w:val="es-CL"/>
        </w:rPr>
      </w:pPr>
      <w:r w:rsidRPr="00323EDB">
        <w:rPr>
          <w:rFonts w:ascii="Times New Roman" w:eastAsia="Times New Roman" w:hAnsi="Times New Roman" w:cs="Times New Roman"/>
          <w:b/>
          <w:bCs/>
          <w:lang w:val="es-CL"/>
        </w:rPr>
        <w:t>REFERENCIAS</w:t>
      </w:r>
    </w:p>
    <w:p w14:paraId="3FBC4C7B"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Artigue, M., y Blomhøj, M. (2013). </w:t>
      </w:r>
      <w:proofErr w:type="spellStart"/>
      <w:r w:rsidRPr="00323EDB">
        <w:rPr>
          <w:sz w:val="22"/>
          <w:szCs w:val="22"/>
          <w:lang w:val="en-US"/>
        </w:rPr>
        <w:t>Conceptualising</w:t>
      </w:r>
      <w:proofErr w:type="spellEnd"/>
      <w:r w:rsidRPr="00323EDB">
        <w:rPr>
          <w:sz w:val="22"/>
          <w:szCs w:val="22"/>
          <w:lang w:val="en-US"/>
        </w:rPr>
        <w:t xml:space="preserve"> inquiry-based education in mathematics. </w:t>
      </w:r>
      <w:r w:rsidRPr="00323EDB">
        <w:rPr>
          <w:i/>
          <w:sz w:val="22"/>
          <w:szCs w:val="22"/>
          <w:lang w:val="en-US"/>
        </w:rPr>
        <w:t>ZDM - The International Journal on Mathematics Education</w:t>
      </w:r>
      <w:r w:rsidRPr="00323EDB">
        <w:rPr>
          <w:sz w:val="22"/>
          <w:szCs w:val="22"/>
          <w:lang w:val="en-US"/>
        </w:rPr>
        <w:t xml:space="preserve">, </w:t>
      </w:r>
      <w:r w:rsidRPr="00323EDB">
        <w:rPr>
          <w:i/>
          <w:sz w:val="22"/>
          <w:szCs w:val="22"/>
          <w:lang w:val="en-US"/>
        </w:rPr>
        <w:t>45</w:t>
      </w:r>
      <w:r w:rsidRPr="00323EDB">
        <w:rPr>
          <w:sz w:val="22"/>
          <w:szCs w:val="22"/>
          <w:lang w:val="en-US"/>
        </w:rPr>
        <w:t>(6), 797-810.</w:t>
      </w:r>
    </w:p>
    <w:p w14:paraId="253A0E66" w14:textId="0D471136" w:rsidR="007019C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Blomhøj, M. (2004). Mathematical modelling—a theory for practice. In B. Clarke, D. Clark, D. </w:t>
      </w:r>
      <w:proofErr w:type="spellStart"/>
      <w:r w:rsidRPr="00323EDB">
        <w:rPr>
          <w:sz w:val="22"/>
          <w:szCs w:val="22"/>
          <w:lang w:val="en-US"/>
        </w:rPr>
        <w:t>Lambdin</w:t>
      </w:r>
      <w:proofErr w:type="spellEnd"/>
      <w:r w:rsidRPr="00323EDB">
        <w:rPr>
          <w:sz w:val="22"/>
          <w:szCs w:val="22"/>
          <w:lang w:val="en-US"/>
        </w:rPr>
        <w:t xml:space="preserve">, F. Lester, G </w:t>
      </w:r>
      <w:proofErr w:type="spellStart"/>
      <w:r w:rsidRPr="00323EDB">
        <w:rPr>
          <w:sz w:val="22"/>
          <w:szCs w:val="22"/>
          <w:lang w:val="en-US"/>
        </w:rPr>
        <w:t>Emanuelsson</w:t>
      </w:r>
      <w:proofErr w:type="spellEnd"/>
      <w:r w:rsidRPr="00323EDB">
        <w:rPr>
          <w:sz w:val="22"/>
          <w:szCs w:val="22"/>
          <w:lang w:val="en-US"/>
        </w:rPr>
        <w:t xml:space="preserve">, B. Johansson, A. </w:t>
      </w:r>
      <w:proofErr w:type="spellStart"/>
      <w:r w:rsidRPr="00323EDB">
        <w:rPr>
          <w:sz w:val="22"/>
          <w:szCs w:val="22"/>
          <w:lang w:val="en-US"/>
        </w:rPr>
        <w:t>Walbym</w:t>
      </w:r>
      <w:proofErr w:type="spellEnd"/>
      <w:r w:rsidRPr="00323EDB">
        <w:rPr>
          <w:sz w:val="22"/>
          <w:szCs w:val="22"/>
          <w:lang w:val="en-US"/>
        </w:rPr>
        <w:t xml:space="preserve"> y K. </w:t>
      </w:r>
      <w:proofErr w:type="spellStart"/>
      <w:r w:rsidRPr="00323EDB">
        <w:rPr>
          <w:sz w:val="22"/>
          <w:szCs w:val="22"/>
          <w:lang w:val="en-US"/>
        </w:rPr>
        <w:t>Walby</w:t>
      </w:r>
      <w:proofErr w:type="spellEnd"/>
      <w:r w:rsidRPr="00323EDB">
        <w:rPr>
          <w:sz w:val="22"/>
          <w:szCs w:val="22"/>
          <w:lang w:val="en-US"/>
        </w:rPr>
        <w:t xml:space="preserve"> (Eds.), </w:t>
      </w:r>
      <w:r w:rsidRPr="00323EDB">
        <w:rPr>
          <w:i/>
          <w:sz w:val="22"/>
          <w:szCs w:val="22"/>
          <w:lang w:val="en-US"/>
        </w:rPr>
        <w:t>International perspectives on learning and teaching mathematics</w:t>
      </w:r>
      <w:r w:rsidRPr="00323EDB">
        <w:rPr>
          <w:sz w:val="22"/>
          <w:szCs w:val="22"/>
          <w:lang w:val="en-US"/>
        </w:rPr>
        <w:t xml:space="preserve"> (pp. 145–160). Gothenburg: NCM, Gothenburg University.</w:t>
      </w:r>
    </w:p>
    <w:p w14:paraId="7A6C0281" w14:textId="128A807C" w:rsidR="003A06BB" w:rsidRDefault="003A06BB" w:rsidP="007019CB">
      <w:pPr>
        <w:pStyle w:val="paragraph"/>
        <w:spacing w:before="0" w:beforeAutospacing="0" w:after="120" w:afterAutospacing="0"/>
        <w:ind w:left="709" w:hanging="709"/>
        <w:textAlignment w:val="baseline"/>
        <w:rPr>
          <w:sz w:val="22"/>
          <w:szCs w:val="22"/>
          <w:lang w:val="en-US"/>
        </w:rPr>
      </w:pPr>
      <w:r>
        <w:t xml:space="preserve">Blomhøj, M. (2020). Characterising modelling competency in students’ projects: Experiences from a natural science bachelor program. In G. A. Stillman, G. Kaiser, &amp; C. E. </w:t>
      </w:r>
      <w:proofErr w:type="spellStart"/>
      <w:r>
        <w:t>Lampen</w:t>
      </w:r>
      <w:proofErr w:type="spellEnd"/>
      <w:r>
        <w:t xml:space="preserve"> (Eds.), </w:t>
      </w:r>
      <w:r w:rsidRPr="003A06BB">
        <w:rPr>
          <w:i/>
          <w:iCs/>
        </w:rPr>
        <w:t>Mathematical modelling education and sense-making</w:t>
      </w:r>
      <w:r>
        <w:t xml:space="preserve"> (pp. 395-406). Springer. https://doi.org/ 10.1007/978-3-030-37673-4_34</w:t>
      </w:r>
    </w:p>
    <w:p w14:paraId="47C28A79" w14:textId="77777777" w:rsidR="003A06BB" w:rsidRPr="00323EDB" w:rsidRDefault="003A06BB" w:rsidP="003A06BB">
      <w:pPr>
        <w:pStyle w:val="paragraph"/>
        <w:spacing w:before="0" w:beforeAutospacing="0" w:after="120" w:afterAutospacing="0"/>
        <w:ind w:left="709" w:hanging="709"/>
        <w:textAlignment w:val="baseline"/>
        <w:rPr>
          <w:sz w:val="22"/>
          <w:szCs w:val="22"/>
          <w:lang w:val="en-US"/>
        </w:rPr>
      </w:pPr>
      <w:r w:rsidRPr="007F7820">
        <w:rPr>
          <w:sz w:val="22"/>
          <w:szCs w:val="22"/>
          <w:lang w:val="en-US"/>
        </w:rPr>
        <w:t xml:space="preserve">Blomhøj, M. y </w:t>
      </w:r>
      <w:proofErr w:type="spellStart"/>
      <w:r w:rsidRPr="007F7820">
        <w:rPr>
          <w:sz w:val="22"/>
          <w:szCs w:val="22"/>
          <w:lang w:val="en-US"/>
        </w:rPr>
        <w:t>Hojgaard</w:t>
      </w:r>
      <w:proofErr w:type="spellEnd"/>
      <w:r w:rsidRPr="007F7820">
        <w:rPr>
          <w:sz w:val="22"/>
          <w:szCs w:val="22"/>
          <w:lang w:val="en-US"/>
        </w:rPr>
        <w:t xml:space="preserve"> Jensen, T. (2003). </w:t>
      </w:r>
      <w:r w:rsidRPr="00323EDB">
        <w:rPr>
          <w:sz w:val="22"/>
          <w:szCs w:val="22"/>
          <w:lang w:val="en-US"/>
        </w:rPr>
        <w:t xml:space="preserve">Developing mathematical modelling competence: Conceptual clarification and educational planning. </w:t>
      </w:r>
      <w:r w:rsidRPr="00323EDB">
        <w:rPr>
          <w:i/>
          <w:sz w:val="22"/>
          <w:szCs w:val="22"/>
          <w:lang w:val="en-US"/>
        </w:rPr>
        <w:t>Teaching mathematics and its applications</w:t>
      </w:r>
      <w:r w:rsidRPr="00323EDB">
        <w:rPr>
          <w:sz w:val="22"/>
          <w:szCs w:val="22"/>
          <w:lang w:val="en-US"/>
        </w:rPr>
        <w:t xml:space="preserve">, </w:t>
      </w:r>
      <w:r w:rsidRPr="00323EDB">
        <w:rPr>
          <w:i/>
          <w:sz w:val="22"/>
          <w:szCs w:val="22"/>
          <w:lang w:val="en-US"/>
        </w:rPr>
        <w:t>22</w:t>
      </w:r>
      <w:r w:rsidRPr="00323EDB">
        <w:rPr>
          <w:sz w:val="22"/>
          <w:szCs w:val="22"/>
          <w:lang w:val="en-US"/>
        </w:rPr>
        <w:t>(3), 123-139.</w:t>
      </w:r>
    </w:p>
    <w:p w14:paraId="31328086" w14:textId="54E7BFA1" w:rsidR="00B65C6B" w:rsidRPr="003A06BB" w:rsidRDefault="00B65C6B" w:rsidP="00B65C6B">
      <w:pPr>
        <w:pStyle w:val="paragraph"/>
        <w:spacing w:before="0" w:beforeAutospacing="0" w:after="120" w:afterAutospacing="0"/>
        <w:ind w:left="709" w:hanging="709"/>
        <w:textAlignment w:val="baseline"/>
        <w:rPr>
          <w:sz w:val="22"/>
          <w:szCs w:val="22"/>
          <w:lang w:val="es-CL"/>
        </w:rPr>
      </w:pPr>
      <w:r w:rsidRPr="007F7820">
        <w:rPr>
          <w:sz w:val="22"/>
          <w:szCs w:val="22"/>
          <w:lang w:val="en-US"/>
        </w:rPr>
        <w:t xml:space="preserve">Blomhøj, M. y </w:t>
      </w:r>
      <w:proofErr w:type="spellStart"/>
      <w:r w:rsidRPr="007F7820">
        <w:rPr>
          <w:sz w:val="22"/>
          <w:szCs w:val="22"/>
          <w:lang w:val="en-US"/>
        </w:rPr>
        <w:t>Elicer</w:t>
      </w:r>
      <w:proofErr w:type="spellEnd"/>
      <w:r w:rsidRPr="007F7820">
        <w:rPr>
          <w:sz w:val="22"/>
          <w:szCs w:val="22"/>
          <w:lang w:val="en-US"/>
        </w:rPr>
        <w:t xml:space="preserve">, R. (2021). </w:t>
      </w:r>
      <w:r w:rsidRPr="00B65C6B">
        <w:rPr>
          <w:sz w:val="22"/>
          <w:szCs w:val="22"/>
          <w:lang w:val="en-US"/>
        </w:rPr>
        <w:t xml:space="preserve">Epidemiological models and the problem of coherence from the critical justification to a practice of teaching mathematical modelling. </w:t>
      </w:r>
      <w:r w:rsidR="003A06BB" w:rsidRPr="003A06BB">
        <w:rPr>
          <w:i/>
          <w:iCs/>
          <w:lang w:val="es-CL"/>
        </w:rPr>
        <w:t xml:space="preserve">Revista de </w:t>
      </w:r>
      <w:proofErr w:type="spellStart"/>
      <w:r w:rsidR="003A06BB" w:rsidRPr="003A06BB">
        <w:rPr>
          <w:i/>
          <w:iCs/>
          <w:lang w:val="es-CL"/>
        </w:rPr>
        <w:t>Investigação</w:t>
      </w:r>
      <w:proofErr w:type="spellEnd"/>
      <w:r w:rsidR="003A06BB" w:rsidRPr="003A06BB">
        <w:rPr>
          <w:i/>
          <w:iCs/>
          <w:lang w:val="es-CL"/>
        </w:rPr>
        <w:t xml:space="preserve"> em </w:t>
      </w:r>
      <w:proofErr w:type="spellStart"/>
      <w:r w:rsidR="003A06BB" w:rsidRPr="003A06BB">
        <w:rPr>
          <w:i/>
          <w:iCs/>
          <w:lang w:val="es-CL"/>
        </w:rPr>
        <w:t>Educação</w:t>
      </w:r>
      <w:proofErr w:type="spellEnd"/>
      <w:r w:rsidR="003A06BB" w:rsidRPr="003A06BB">
        <w:rPr>
          <w:i/>
          <w:iCs/>
          <w:lang w:val="es-CL"/>
        </w:rPr>
        <w:t xml:space="preserve"> Matemática</w:t>
      </w:r>
      <w:r w:rsidR="003A06BB" w:rsidRPr="003A06BB">
        <w:rPr>
          <w:lang w:val="es-CL"/>
        </w:rPr>
        <w:t xml:space="preserve">. </w:t>
      </w:r>
      <w:r w:rsidRPr="003A06BB">
        <w:rPr>
          <w:sz w:val="22"/>
          <w:szCs w:val="22"/>
          <w:lang w:val="es-CL"/>
        </w:rPr>
        <w:t xml:space="preserve">30. 79-100. </w:t>
      </w:r>
    </w:p>
    <w:p w14:paraId="337BCDD8" w14:textId="3151F27F" w:rsidR="007019CB" w:rsidRDefault="007019CB" w:rsidP="007019CB">
      <w:pPr>
        <w:pStyle w:val="paragraph"/>
        <w:spacing w:before="0" w:beforeAutospacing="0" w:after="120" w:afterAutospacing="0"/>
        <w:ind w:left="709" w:hanging="709"/>
        <w:textAlignment w:val="baseline"/>
        <w:rPr>
          <w:sz w:val="22"/>
          <w:szCs w:val="22"/>
          <w:lang w:val="en-US"/>
        </w:rPr>
      </w:pPr>
      <w:r w:rsidRPr="003A06BB">
        <w:rPr>
          <w:sz w:val="22"/>
          <w:szCs w:val="22"/>
          <w:lang w:val="es-CL"/>
        </w:rPr>
        <w:t xml:space="preserve">Blomhøj, M., y Jensen, T. (2007). </w:t>
      </w:r>
      <w:r w:rsidRPr="00323EDB">
        <w:rPr>
          <w:sz w:val="22"/>
          <w:szCs w:val="22"/>
          <w:lang w:val="en-US"/>
        </w:rPr>
        <w:t xml:space="preserve">What’s all the fuss about competencies? In W. Blum, P. Galbraith, H.-W. Henn, y M. </w:t>
      </w:r>
      <w:proofErr w:type="spellStart"/>
      <w:r w:rsidRPr="00323EDB">
        <w:rPr>
          <w:sz w:val="22"/>
          <w:szCs w:val="22"/>
          <w:lang w:val="en-US"/>
        </w:rPr>
        <w:t>Niss</w:t>
      </w:r>
      <w:proofErr w:type="spellEnd"/>
      <w:r w:rsidRPr="00323EDB">
        <w:rPr>
          <w:sz w:val="22"/>
          <w:szCs w:val="22"/>
          <w:lang w:val="en-US"/>
        </w:rPr>
        <w:t xml:space="preserve"> (Eds.) </w:t>
      </w:r>
      <w:r w:rsidRPr="00323EDB">
        <w:rPr>
          <w:i/>
          <w:sz w:val="22"/>
          <w:szCs w:val="22"/>
          <w:lang w:val="en-US"/>
        </w:rPr>
        <w:t>Modelling and applications in mathematics education</w:t>
      </w:r>
      <w:r w:rsidRPr="00323EDB">
        <w:rPr>
          <w:sz w:val="22"/>
          <w:szCs w:val="22"/>
          <w:lang w:val="en-US"/>
        </w:rPr>
        <w:t xml:space="preserve"> (pp. 45–56). New York: Springer.</w:t>
      </w:r>
    </w:p>
    <w:p w14:paraId="6B2A152F"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Blum, W. (2002). ICMI Study 14: Applications and Modelling in Mathematics Education – Discussion Document. </w:t>
      </w:r>
      <w:r w:rsidRPr="00323EDB">
        <w:rPr>
          <w:i/>
          <w:sz w:val="22"/>
          <w:szCs w:val="22"/>
          <w:lang w:val="en-US"/>
        </w:rPr>
        <w:t>Educational Studies in Mathematics</w:t>
      </w:r>
      <w:r w:rsidRPr="00323EDB">
        <w:rPr>
          <w:sz w:val="22"/>
          <w:szCs w:val="22"/>
          <w:lang w:val="en-US"/>
        </w:rPr>
        <w:t xml:space="preserve">, </w:t>
      </w:r>
      <w:r w:rsidRPr="00323EDB">
        <w:rPr>
          <w:i/>
          <w:sz w:val="22"/>
          <w:szCs w:val="22"/>
          <w:lang w:val="en-US"/>
        </w:rPr>
        <w:t>51</w:t>
      </w:r>
      <w:r w:rsidRPr="00323EDB">
        <w:rPr>
          <w:sz w:val="22"/>
          <w:szCs w:val="22"/>
          <w:lang w:val="en-US"/>
        </w:rPr>
        <w:t>(1-2), 149-171.</w:t>
      </w:r>
    </w:p>
    <w:p w14:paraId="48F9E5CA"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E23A0">
        <w:rPr>
          <w:sz w:val="22"/>
          <w:szCs w:val="22"/>
          <w:lang w:val="es-CL"/>
        </w:rPr>
        <w:t xml:space="preserve">Blum, W., y Borromeo-Ferri, R. (2009). </w:t>
      </w:r>
      <w:r w:rsidRPr="00323EDB">
        <w:rPr>
          <w:sz w:val="22"/>
          <w:szCs w:val="22"/>
          <w:lang w:val="en-US"/>
        </w:rPr>
        <w:t xml:space="preserve">Mathematical Modelling: Can It Be Taught </w:t>
      </w:r>
      <w:proofErr w:type="gramStart"/>
      <w:r w:rsidRPr="00323EDB">
        <w:rPr>
          <w:sz w:val="22"/>
          <w:szCs w:val="22"/>
          <w:lang w:val="en-US"/>
        </w:rPr>
        <w:t>And</w:t>
      </w:r>
      <w:proofErr w:type="gramEnd"/>
      <w:r w:rsidRPr="00323EDB">
        <w:rPr>
          <w:sz w:val="22"/>
          <w:szCs w:val="22"/>
          <w:lang w:val="en-US"/>
        </w:rPr>
        <w:t xml:space="preserve"> Learnt? </w:t>
      </w:r>
      <w:r w:rsidRPr="00323EDB">
        <w:rPr>
          <w:i/>
          <w:sz w:val="22"/>
          <w:szCs w:val="22"/>
          <w:lang w:val="en-US"/>
        </w:rPr>
        <w:t>Journal of Mathematical Modelling and Application</w:t>
      </w:r>
      <w:r w:rsidRPr="00323EDB">
        <w:rPr>
          <w:sz w:val="22"/>
          <w:szCs w:val="22"/>
          <w:lang w:val="en-US"/>
        </w:rPr>
        <w:t>,</w:t>
      </w:r>
      <w:r w:rsidRPr="00323EDB">
        <w:rPr>
          <w:i/>
          <w:sz w:val="22"/>
          <w:szCs w:val="22"/>
          <w:lang w:val="en-US"/>
        </w:rPr>
        <w:t xml:space="preserve"> 1</w:t>
      </w:r>
      <w:r w:rsidRPr="00323EDB">
        <w:rPr>
          <w:sz w:val="22"/>
          <w:szCs w:val="22"/>
          <w:lang w:val="en-US"/>
        </w:rPr>
        <w:t>(1), 45-58.</w:t>
      </w:r>
    </w:p>
    <w:p w14:paraId="7575B86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Borromeo-</w:t>
      </w:r>
      <w:proofErr w:type="spellStart"/>
      <w:r w:rsidRPr="00323EDB">
        <w:rPr>
          <w:sz w:val="22"/>
          <w:szCs w:val="22"/>
          <w:lang w:val="en-US"/>
        </w:rPr>
        <w:t>Ferri</w:t>
      </w:r>
      <w:proofErr w:type="spellEnd"/>
      <w:r w:rsidRPr="00323EDB">
        <w:rPr>
          <w:sz w:val="22"/>
          <w:szCs w:val="22"/>
          <w:lang w:val="en-US"/>
        </w:rPr>
        <w:t xml:space="preserve">, R. (2006). Theoretical and empirical differentiations of phases in the modelling process. </w:t>
      </w:r>
      <w:r w:rsidRPr="00323EDB">
        <w:rPr>
          <w:i/>
          <w:sz w:val="22"/>
          <w:szCs w:val="22"/>
          <w:lang w:val="en-US"/>
        </w:rPr>
        <w:t>ZDM – The International Journal on Mathematics Education</w:t>
      </w:r>
      <w:r w:rsidRPr="00323EDB">
        <w:rPr>
          <w:sz w:val="22"/>
          <w:szCs w:val="22"/>
          <w:lang w:val="en-US"/>
        </w:rPr>
        <w:t xml:space="preserve">, </w:t>
      </w:r>
      <w:r w:rsidRPr="00323EDB">
        <w:rPr>
          <w:i/>
          <w:sz w:val="22"/>
          <w:szCs w:val="22"/>
          <w:lang w:val="en-US"/>
        </w:rPr>
        <w:t>38</w:t>
      </w:r>
      <w:r w:rsidRPr="00323EDB">
        <w:rPr>
          <w:sz w:val="22"/>
          <w:szCs w:val="22"/>
          <w:lang w:val="en-US"/>
        </w:rPr>
        <w:t>(2), 86–95.</w:t>
      </w:r>
    </w:p>
    <w:p w14:paraId="6CEDDEC5" w14:textId="77777777" w:rsidR="007019CB" w:rsidRPr="004E0715"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Borromeo-</w:t>
      </w:r>
      <w:proofErr w:type="spellStart"/>
      <w:r w:rsidRPr="00323EDB">
        <w:rPr>
          <w:sz w:val="22"/>
          <w:szCs w:val="22"/>
          <w:lang w:val="en-US"/>
        </w:rPr>
        <w:t>Ferri</w:t>
      </w:r>
      <w:proofErr w:type="spellEnd"/>
      <w:r w:rsidRPr="00323EDB">
        <w:rPr>
          <w:sz w:val="22"/>
          <w:szCs w:val="22"/>
          <w:lang w:val="en-US"/>
        </w:rPr>
        <w:t xml:space="preserve">, R. (2018). </w:t>
      </w:r>
      <w:r w:rsidRPr="00323EDB">
        <w:rPr>
          <w:i/>
          <w:sz w:val="22"/>
          <w:szCs w:val="22"/>
          <w:lang w:val="en-US"/>
        </w:rPr>
        <w:t>Learning how to teach mathematical modeling in school and teacher education</w:t>
      </w:r>
      <w:r w:rsidRPr="00323EDB">
        <w:rPr>
          <w:sz w:val="22"/>
          <w:szCs w:val="22"/>
          <w:lang w:val="en-US"/>
        </w:rPr>
        <w:t xml:space="preserve">. </w:t>
      </w:r>
      <w:r w:rsidRPr="004E0715">
        <w:rPr>
          <w:sz w:val="22"/>
          <w:szCs w:val="22"/>
          <w:lang w:val="en-US"/>
        </w:rPr>
        <w:t>Springer.</w:t>
      </w:r>
    </w:p>
    <w:p w14:paraId="36B388C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4E0715">
        <w:rPr>
          <w:sz w:val="22"/>
          <w:szCs w:val="22"/>
          <w:lang w:val="en-US"/>
        </w:rPr>
        <w:t xml:space="preserve">Burns, N. Grove S. (2004). </w:t>
      </w:r>
      <w:proofErr w:type="spellStart"/>
      <w:r w:rsidRPr="004E0715">
        <w:rPr>
          <w:i/>
          <w:sz w:val="22"/>
          <w:szCs w:val="22"/>
          <w:lang w:val="en-US"/>
        </w:rPr>
        <w:t>Investigación</w:t>
      </w:r>
      <w:proofErr w:type="spellEnd"/>
      <w:r w:rsidRPr="004E0715">
        <w:rPr>
          <w:i/>
          <w:sz w:val="22"/>
          <w:szCs w:val="22"/>
          <w:lang w:val="en-US"/>
        </w:rPr>
        <w:t xml:space="preserve"> </w:t>
      </w:r>
      <w:proofErr w:type="spellStart"/>
      <w:r w:rsidRPr="004E0715">
        <w:rPr>
          <w:i/>
          <w:sz w:val="22"/>
          <w:szCs w:val="22"/>
          <w:lang w:val="en-US"/>
        </w:rPr>
        <w:t>en</w:t>
      </w:r>
      <w:proofErr w:type="spellEnd"/>
      <w:r w:rsidRPr="004E0715">
        <w:rPr>
          <w:i/>
          <w:sz w:val="22"/>
          <w:szCs w:val="22"/>
          <w:lang w:val="en-US"/>
        </w:rPr>
        <w:t xml:space="preserve"> </w:t>
      </w:r>
      <w:proofErr w:type="spellStart"/>
      <w:r w:rsidRPr="004E0715">
        <w:rPr>
          <w:i/>
          <w:sz w:val="22"/>
          <w:szCs w:val="22"/>
          <w:lang w:val="en-US"/>
        </w:rPr>
        <w:t>enfermería</w:t>
      </w:r>
      <w:proofErr w:type="spellEnd"/>
      <w:r w:rsidRPr="004E0715">
        <w:rPr>
          <w:sz w:val="22"/>
          <w:szCs w:val="22"/>
          <w:lang w:val="en-US"/>
        </w:rPr>
        <w:t xml:space="preserve">. (3ª Ed). </w:t>
      </w:r>
      <w:r w:rsidRPr="00323EDB">
        <w:rPr>
          <w:sz w:val="22"/>
          <w:szCs w:val="22"/>
          <w:lang w:val="en-US"/>
        </w:rPr>
        <w:t>Madrid: Elsevier.</w:t>
      </w:r>
    </w:p>
    <w:p w14:paraId="1E05E365" w14:textId="77777777" w:rsidR="007019CB" w:rsidRPr="00323EDB" w:rsidRDefault="007019CB" w:rsidP="007019CB">
      <w:pPr>
        <w:pStyle w:val="paragraph"/>
        <w:spacing w:before="0" w:beforeAutospacing="0" w:after="120" w:afterAutospacing="0"/>
        <w:ind w:left="709" w:hanging="709"/>
        <w:textAlignment w:val="baseline"/>
        <w:rPr>
          <w:sz w:val="22"/>
          <w:szCs w:val="22"/>
          <w:lang w:val="pt-BR"/>
        </w:rPr>
      </w:pPr>
      <w:proofErr w:type="spellStart"/>
      <w:r w:rsidRPr="00323EDB">
        <w:rPr>
          <w:sz w:val="22"/>
          <w:szCs w:val="22"/>
          <w:lang w:val="en-US"/>
        </w:rPr>
        <w:t>Cabassut</w:t>
      </w:r>
      <w:proofErr w:type="spellEnd"/>
      <w:r w:rsidRPr="00323EDB">
        <w:rPr>
          <w:sz w:val="22"/>
          <w:szCs w:val="22"/>
          <w:lang w:val="en-US"/>
        </w:rPr>
        <w:t xml:space="preserve"> R., </w:t>
      </w:r>
      <w:proofErr w:type="spellStart"/>
      <w:r w:rsidRPr="00323EDB">
        <w:rPr>
          <w:sz w:val="22"/>
          <w:szCs w:val="22"/>
          <w:lang w:val="en-US"/>
        </w:rPr>
        <w:t>Ferrando</w:t>
      </w:r>
      <w:proofErr w:type="spellEnd"/>
      <w:r w:rsidRPr="00323EDB">
        <w:rPr>
          <w:sz w:val="22"/>
          <w:szCs w:val="22"/>
          <w:lang w:val="en-US"/>
        </w:rPr>
        <w:t xml:space="preserve"> I. (2017) Difficulties in Teaching Modelling: A French-Spanish Exploration. </w:t>
      </w:r>
      <w:proofErr w:type="spellStart"/>
      <w:r w:rsidRPr="00323EDB">
        <w:rPr>
          <w:sz w:val="22"/>
          <w:szCs w:val="22"/>
          <w:lang w:val="en-US"/>
        </w:rPr>
        <w:t>En</w:t>
      </w:r>
      <w:proofErr w:type="spellEnd"/>
      <w:r w:rsidRPr="00323EDB">
        <w:rPr>
          <w:sz w:val="22"/>
          <w:szCs w:val="22"/>
          <w:lang w:val="en-US"/>
        </w:rPr>
        <w:t xml:space="preserve"> Stillman G., Blum W., Kaiser G. (eds), </w:t>
      </w:r>
      <w:r w:rsidRPr="00323EDB">
        <w:rPr>
          <w:i/>
          <w:sz w:val="22"/>
          <w:szCs w:val="22"/>
          <w:lang w:val="en-US"/>
        </w:rPr>
        <w:t>Mathematical Modelling and Applications. International Perspectives on the Teaching and Learning of Mathematical Modelling</w:t>
      </w:r>
      <w:r w:rsidRPr="00323EDB">
        <w:rPr>
          <w:sz w:val="22"/>
          <w:szCs w:val="22"/>
          <w:lang w:val="en-US"/>
        </w:rPr>
        <w:t xml:space="preserve"> (pp. 618-647). </w:t>
      </w:r>
      <w:r w:rsidRPr="00323EDB">
        <w:rPr>
          <w:sz w:val="22"/>
          <w:szCs w:val="22"/>
          <w:lang w:val="pt-BR"/>
        </w:rPr>
        <w:t xml:space="preserve">Springer, </w:t>
      </w:r>
      <w:proofErr w:type="spellStart"/>
      <w:r w:rsidRPr="00323EDB">
        <w:rPr>
          <w:sz w:val="22"/>
          <w:szCs w:val="22"/>
          <w:lang w:val="pt-BR"/>
        </w:rPr>
        <w:t>Cham</w:t>
      </w:r>
      <w:proofErr w:type="spellEnd"/>
      <w:r w:rsidRPr="00323EDB">
        <w:rPr>
          <w:sz w:val="22"/>
          <w:szCs w:val="22"/>
          <w:lang w:val="pt-BR"/>
        </w:rPr>
        <w:t>.</w:t>
      </w:r>
    </w:p>
    <w:p w14:paraId="1EB8FFA8" w14:textId="089BF6A2" w:rsidR="007019CB" w:rsidRPr="00323EDB" w:rsidRDefault="007019CB" w:rsidP="007019CB">
      <w:pPr>
        <w:pStyle w:val="paragraph"/>
        <w:spacing w:before="0" w:beforeAutospacing="0" w:after="120" w:afterAutospacing="0"/>
        <w:ind w:left="709" w:hanging="709"/>
        <w:textAlignment w:val="baseline"/>
        <w:rPr>
          <w:sz w:val="22"/>
          <w:szCs w:val="22"/>
          <w:lang w:val="pt-BR"/>
        </w:rPr>
      </w:pPr>
      <w:r w:rsidRPr="00323EDB">
        <w:rPr>
          <w:sz w:val="22"/>
          <w:szCs w:val="22"/>
          <w:lang w:val="pt-BR"/>
        </w:rPr>
        <w:t xml:space="preserve">Compendio Estadístico. (2018), Instituto Nacional de Estadísticas. </w:t>
      </w:r>
    </w:p>
    <w:p w14:paraId="63635AF5" w14:textId="77777777" w:rsidR="006C36EB" w:rsidRPr="00323EDB" w:rsidRDefault="006C36EB" w:rsidP="006C36EB">
      <w:pPr>
        <w:pStyle w:val="paragraph"/>
        <w:spacing w:before="0" w:beforeAutospacing="0" w:after="120" w:afterAutospacing="0"/>
        <w:ind w:left="709" w:hanging="709"/>
        <w:textAlignment w:val="baseline"/>
        <w:rPr>
          <w:sz w:val="22"/>
          <w:szCs w:val="22"/>
          <w:lang w:val="pt-BR"/>
        </w:rPr>
      </w:pPr>
      <w:proofErr w:type="spellStart"/>
      <w:r w:rsidRPr="00323EDB">
        <w:rPr>
          <w:sz w:val="22"/>
          <w:szCs w:val="22"/>
          <w:lang w:val="pt-BR"/>
        </w:rPr>
        <w:t>Cosmes</w:t>
      </w:r>
      <w:proofErr w:type="spellEnd"/>
      <w:r w:rsidRPr="00323EDB">
        <w:rPr>
          <w:sz w:val="22"/>
          <w:szCs w:val="22"/>
          <w:lang w:val="pt-BR"/>
        </w:rPr>
        <w:t>, S. y Montoya-</w:t>
      </w:r>
      <w:proofErr w:type="spellStart"/>
      <w:r w:rsidRPr="00323EDB">
        <w:rPr>
          <w:sz w:val="22"/>
          <w:szCs w:val="22"/>
          <w:lang w:val="pt-BR"/>
        </w:rPr>
        <w:t>Delgadillo</w:t>
      </w:r>
      <w:proofErr w:type="spellEnd"/>
      <w:r w:rsidRPr="00323EDB">
        <w:rPr>
          <w:sz w:val="22"/>
          <w:szCs w:val="22"/>
          <w:lang w:val="pt-BR"/>
        </w:rPr>
        <w:t xml:space="preserve">, E. (2021). </w:t>
      </w:r>
      <w:proofErr w:type="spellStart"/>
      <w:r w:rsidRPr="00323EDB">
        <w:rPr>
          <w:sz w:val="22"/>
          <w:szCs w:val="22"/>
          <w:lang w:val="pt-BR"/>
        </w:rPr>
        <w:t>Understanding</w:t>
      </w:r>
      <w:proofErr w:type="spellEnd"/>
      <w:r w:rsidRPr="00323EDB">
        <w:rPr>
          <w:sz w:val="22"/>
          <w:szCs w:val="22"/>
          <w:lang w:val="pt-BR"/>
        </w:rPr>
        <w:t xml:space="preserve"> Links </w:t>
      </w:r>
      <w:proofErr w:type="spellStart"/>
      <w:r w:rsidRPr="00323EDB">
        <w:rPr>
          <w:sz w:val="22"/>
          <w:szCs w:val="22"/>
          <w:lang w:val="pt-BR"/>
        </w:rPr>
        <w:t>Between</w:t>
      </w:r>
      <w:proofErr w:type="spellEnd"/>
      <w:r w:rsidRPr="00323EDB">
        <w:rPr>
          <w:sz w:val="22"/>
          <w:szCs w:val="22"/>
          <w:lang w:val="pt-BR"/>
        </w:rPr>
        <w:t xml:space="preserve"> </w:t>
      </w:r>
      <w:proofErr w:type="spellStart"/>
      <w:r w:rsidRPr="00323EDB">
        <w:rPr>
          <w:sz w:val="22"/>
          <w:szCs w:val="22"/>
          <w:lang w:val="pt-BR"/>
        </w:rPr>
        <w:t>Mathematics</w:t>
      </w:r>
      <w:proofErr w:type="spellEnd"/>
      <w:r w:rsidRPr="00323EDB">
        <w:rPr>
          <w:sz w:val="22"/>
          <w:szCs w:val="22"/>
          <w:lang w:val="pt-BR"/>
        </w:rPr>
        <w:t xml:space="preserve"> </w:t>
      </w:r>
      <w:proofErr w:type="spellStart"/>
      <w:r w:rsidRPr="00323EDB">
        <w:rPr>
          <w:sz w:val="22"/>
          <w:szCs w:val="22"/>
          <w:lang w:val="pt-BR"/>
        </w:rPr>
        <w:t>and</w:t>
      </w:r>
      <w:proofErr w:type="spellEnd"/>
      <w:r w:rsidRPr="00323EDB">
        <w:rPr>
          <w:sz w:val="22"/>
          <w:szCs w:val="22"/>
          <w:lang w:val="pt-BR"/>
        </w:rPr>
        <w:t xml:space="preserve"> </w:t>
      </w:r>
      <w:proofErr w:type="spellStart"/>
      <w:r w:rsidRPr="00323EDB">
        <w:rPr>
          <w:sz w:val="22"/>
          <w:szCs w:val="22"/>
          <w:lang w:val="pt-BR"/>
        </w:rPr>
        <w:t>Engineering</w:t>
      </w:r>
      <w:proofErr w:type="spellEnd"/>
      <w:r w:rsidRPr="00323EDB">
        <w:rPr>
          <w:sz w:val="22"/>
          <w:szCs w:val="22"/>
          <w:lang w:val="pt-BR"/>
        </w:rPr>
        <w:t xml:space="preserve"> </w:t>
      </w:r>
      <w:proofErr w:type="spellStart"/>
      <w:r w:rsidRPr="00323EDB">
        <w:rPr>
          <w:sz w:val="22"/>
          <w:szCs w:val="22"/>
          <w:lang w:val="pt-BR"/>
        </w:rPr>
        <w:t>Through</w:t>
      </w:r>
      <w:proofErr w:type="spellEnd"/>
      <w:r w:rsidRPr="00323EDB">
        <w:rPr>
          <w:sz w:val="22"/>
          <w:szCs w:val="22"/>
          <w:lang w:val="pt-BR"/>
        </w:rPr>
        <w:t xml:space="preserve"> </w:t>
      </w:r>
      <w:proofErr w:type="spellStart"/>
      <w:r w:rsidRPr="00323EDB">
        <w:rPr>
          <w:sz w:val="22"/>
          <w:szCs w:val="22"/>
          <w:lang w:val="pt-BR"/>
        </w:rPr>
        <w:t>Mathematical</w:t>
      </w:r>
      <w:proofErr w:type="spellEnd"/>
      <w:r w:rsidRPr="00323EDB">
        <w:rPr>
          <w:sz w:val="22"/>
          <w:szCs w:val="22"/>
          <w:lang w:val="pt-BR"/>
        </w:rPr>
        <w:t xml:space="preserve"> </w:t>
      </w:r>
      <w:proofErr w:type="spellStart"/>
      <w:r w:rsidRPr="00323EDB">
        <w:rPr>
          <w:sz w:val="22"/>
          <w:szCs w:val="22"/>
          <w:lang w:val="pt-BR"/>
        </w:rPr>
        <w:t>Modelling</w:t>
      </w:r>
      <w:proofErr w:type="spellEnd"/>
      <w:r w:rsidRPr="00323EDB">
        <w:rPr>
          <w:sz w:val="22"/>
          <w:szCs w:val="22"/>
          <w:lang w:val="pt-BR"/>
        </w:rPr>
        <w:t xml:space="preserve">—The Case </w:t>
      </w:r>
      <w:proofErr w:type="spellStart"/>
      <w:r w:rsidRPr="00323EDB">
        <w:rPr>
          <w:sz w:val="22"/>
          <w:szCs w:val="22"/>
          <w:lang w:val="pt-BR"/>
        </w:rPr>
        <w:t>of</w:t>
      </w:r>
      <w:proofErr w:type="spellEnd"/>
      <w:r w:rsidRPr="00323EDB">
        <w:rPr>
          <w:sz w:val="22"/>
          <w:szCs w:val="22"/>
          <w:lang w:val="pt-BR"/>
        </w:rPr>
        <w:t xml:space="preserve"> Training Civil </w:t>
      </w:r>
      <w:proofErr w:type="spellStart"/>
      <w:r w:rsidRPr="00323EDB">
        <w:rPr>
          <w:sz w:val="22"/>
          <w:szCs w:val="22"/>
          <w:lang w:val="pt-BR"/>
        </w:rPr>
        <w:t>Engineers</w:t>
      </w:r>
      <w:proofErr w:type="spellEnd"/>
      <w:r w:rsidRPr="00323EDB">
        <w:rPr>
          <w:sz w:val="22"/>
          <w:szCs w:val="22"/>
          <w:lang w:val="pt-BR"/>
        </w:rPr>
        <w:t xml:space="preserve"> in a </w:t>
      </w:r>
      <w:proofErr w:type="spellStart"/>
      <w:r w:rsidRPr="00323EDB">
        <w:rPr>
          <w:sz w:val="22"/>
          <w:szCs w:val="22"/>
          <w:lang w:val="pt-BR"/>
        </w:rPr>
        <w:t>Course</w:t>
      </w:r>
      <w:proofErr w:type="spellEnd"/>
      <w:r w:rsidRPr="00323EDB">
        <w:rPr>
          <w:sz w:val="22"/>
          <w:szCs w:val="22"/>
          <w:lang w:val="pt-BR"/>
        </w:rPr>
        <w:t xml:space="preserve"> </w:t>
      </w:r>
      <w:proofErr w:type="spellStart"/>
      <w:r w:rsidRPr="00323EDB">
        <w:rPr>
          <w:sz w:val="22"/>
          <w:szCs w:val="22"/>
          <w:lang w:val="pt-BR"/>
        </w:rPr>
        <w:t>of</w:t>
      </w:r>
      <w:proofErr w:type="spellEnd"/>
      <w:r w:rsidRPr="00323EDB">
        <w:rPr>
          <w:sz w:val="22"/>
          <w:szCs w:val="22"/>
          <w:lang w:val="pt-BR"/>
        </w:rPr>
        <w:t xml:space="preserve"> </w:t>
      </w:r>
      <w:proofErr w:type="spellStart"/>
      <w:r w:rsidRPr="00323EDB">
        <w:rPr>
          <w:sz w:val="22"/>
          <w:szCs w:val="22"/>
          <w:lang w:val="pt-BR"/>
        </w:rPr>
        <w:t>Structural</w:t>
      </w:r>
      <w:proofErr w:type="spellEnd"/>
      <w:r w:rsidRPr="00323EDB">
        <w:rPr>
          <w:sz w:val="22"/>
          <w:szCs w:val="22"/>
          <w:lang w:val="pt-BR"/>
        </w:rPr>
        <w:t xml:space="preserve"> </w:t>
      </w:r>
      <w:proofErr w:type="spellStart"/>
      <w:r w:rsidRPr="00323EDB">
        <w:rPr>
          <w:sz w:val="22"/>
          <w:szCs w:val="22"/>
          <w:lang w:val="pt-BR"/>
        </w:rPr>
        <w:t>Analysis</w:t>
      </w:r>
      <w:proofErr w:type="spellEnd"/>
      <w:r w:rsidRPr="00323EDB">
        <w:rPr>
          <w:sz w:val="22"/>
          <w:szCs w:val="22"/>
          <w:lang w:val="pt-BR"/>
        </w:rPr>
        <w:t xml:space="preserve">. </w:t>
      </w:r>
      <w:proofErr w:type="spellStart"/>
      <w:r w:rsidRPr="00323EDB">
        <w:rPr>
          <w:sz w:val="22"/>
          <w:szCs w:val="22"/>
          <w:lang w:val="pt-BR"/>
        </w:rPr>
        <w:t>En</w:t>
      </w:r>
      <w:proofErr w:type="spellEnd"/>
      <w:r w:rsidRPr="00323EDB">
        <w:rPr>
          <w:sz w:val="22"/>
          <w:szCs w:val="22"/>
          <w:lang w:val="pt-BR"/>
        </w:rPr>
        <w:t xml:space="preserve"> Leung, F.K.S., </w:t>
      </w:r>
      <w:proofErr w:type="spellStart"/>
      <w:r w:rsidRPr="00323EDB">
        <w:rPr>
          <w:sz w:val="22"/>
          <w:szCs w:val="22"/>
          <w:lang w:val="pt-BR"/>
        </w:rPr>
        <w:t>Stillman</w:t>
      </w:r>
      <w:proofErr w:type="spellEnd"/>
      <w:r w:rsidRPr="00323EDB">
        <w:rPr>
          <w:sz w:val="22"/>
          <w:szCs w:val="22"/>
          <w:lang w:val="pt-BR"/>
        </w:rPr>
        <w:t>, G.A., Kaiser, G., Wong, K.L. (</w:t>
      </w:r>
      <w:proofErr w:type="spellStart"/>
      <w:r w:rsidRPr="00323EDB">
        <w:rPr>
          <w:sz w:val="22"/>
          <w:szCs w:val="22"/>
          <w:lang w:val="pt-BR"/>
        </w:rPr>
        <w:t>eds</w:t>
      </w:r>
      <w:proofErr w:type="spellEnd"/>
      <w:r w:rsidRPr="00323EDB">
        <w:rPr>
          <w:sz w:val="22"/>
          <w:szCs w:val="22"/>
          <w:lang w:val="pt-BR"/>
        </w:rPr>
        <w:t xml:space="preserve">), </w:t>
      </w:r>
      <w:proofErr w:type="spellStart"/>
      <w:r w:rsidRPr="00323EDB">
        <w:rPr>
          <w:i/>
          <w:iCs/>
          <w:sz w:val="22"/>
          <w:szCs w:val="22"/>
          <w:lang w:val="pt-BR"/>
        </w:rPr>
        <w:t>Mathematical</w:t>
      </w:r>
      <w:proofErr w:type="spellEnd"/>
      <w:r w:rsidRPr="00323EDB">
        <w:rPr>
          <w:i/>
          <w:iCs/>
          <w:sz w:val="22"/>
          <w:szCs w:val="22"/>
          <w:lang w:val="pt-BR"/>
        </w:rPr>
        <w:t xml:space="preserve"> </w:t>
      </w:r>
      <w:proofErr w:type="spellStart"/>
      <w:r w:rsidRPr="00323EDB">
        <w:rPr>
          <w:i/>
          <w:iCs/>
          <w:sz w:val="22"/>
          <w:szCs w:val="22"/>
          <w:lang w:val="pt-BR"/>
        </w:rPr>
        <w:t>Modelling</w:t>
      </w:r>
      <w:proofErr w:type="spellEnd"/>
      <w:r w:rsidRPr="00323EDB">
        <w:rPr>
          <w:i/>
          <w:iCs/>
          <w:sz w:val="22"/>
          <w:szCs w:val="22"/>
          <w:lang w:val="pt-BR"/>
        </w:rPr>
        <w:t xml:space="preserve"> </w:t>
      </w:r>
      <w:proofErr w:type="spellStart"/>
      <w:r w:rsidRPr="00323EDB">
        <w:rPr>
          <w:i/>
          <w:iCs/>
          <w:sz w:val="22"/>
          <w:szCs w:val="22"/>
          <w:lang w:val="pt-BR"/>
        </w:rPr>
        <w:t>Education</w:t>
      </w:r>
      <w:proofErr w:type="spellEnd"/>
      <w:r w:rsidRPr="00323EDB">
        <w:rPr>
          <w:i/>
          <w:iCs/>
          <w:sz w:val="22"/>
          <w:szCs w:val="22"/>
          <w:lang w:val="pt-BR"/>
        </w:rPr>
        <w:t xml:space="preserve"> in East </w:t>
      </w:r>
      <w:proofErr w:type="spellStart"/>
      <w:r w:rsidRPr="00323EDB">
        <w:rPr>
          <w:i/>
          <w:iCs/>
          <w:sz w:val="22"/>
          <w:szCs w:val="22"/>
          <w:lang w:val="pt-BR"/>
        </w:rPr>
        <w:t>and</w:t>
      </w:r>
      <w:proofErr w:type="spellEnd"/>
      <w:r w:rsidRPr="00323EDB">
        <w:rPr>
          <w:i/>
          <w:iCs/>
          <w:sz w:val="22"/>
          <w:szCs w:val="22"/>
          <w:lang w:val="pt-BR"/>
        </w:rPr>
        <w:t xml:space="preserve"> West. </w:t>
      </w:r>
      <w:proofErr w:type="spellStart"/>
      <w:r w:rsidRPr="00323EDB">
        <w:rPr>
          <w:i/>
          <w:iCs/>
          <w:sz w:val="22"/>
          <w:szCs w:val="22"/>
          <w:lang w:val="pt-BR"/>
        </w:rPr>
        <w:t>International</w:t>
      </w:r>
      <w:proofErr w:type="spellEnd"/>
      <w:r w:rsidRPr="00323EDB">
        <w:rPr>
          <w:i/>
          <w:iCs/>
          <w:sz w:val="22"/>
          <w:szCs w:val="22"/>
          <w:lang w:val="pt-BR"/>
        </w:rPr>
        <w:t xml:space="preserve"> Perspectives </w:t>
      </w:r>
      <w:proofErr w:type="spellStart"/>
      <w:r w:rsidRPr="00323EDB">
        <w:rPr>
          <w:i/>
          <w:iCs/>
          <w:sz w:val="22"/>
          <w:szCs w:val="22"/>
          <w:lang w:val="pt-BR"/>
        </w:rPr>
        <w:t>on</w:t>
      </w:r>
      <w:proofErr w:type="spellEnd"/>
      <w:r w:rsidRPr="00323EDB">
        <w:rPr>
          <w:i/>
          <w:iCs/>
          <w:sz w:val="22"/>
          <w:szCs w:val="22"/>
          <w:lang w:val="pt-BR"/>
        </w:rPr>
        <w:t xml:space="preserve"> </w:t>
      </w:r>
      <w:proofErr w:type="spellStart"/>
      <w:r w:rsidRPr="00323EDB">
        <w:rPr>
          <w:i/>
          <w:iCs/>
          <w:sz w:val="22"/>
          <w:szCs w:val="22"/>
          <w:lang w:val="pt-BR"/>
        </w:rPr>
        <w:t>the</w:t>
      </w:r>
      <w:proofErr w:type="spellEnd"/>
      <w:r w:rsidRPr="00323EDB">
        <w:rPr>
          <w:i/>
          <w:iCs/>
          <w:sz w:val="22"/>
          <w:szCs w:val="22"/>
          <w:lang w:val="pt-BR"/>
        </w:rPr>
        <w:t xml:space="preserve"> </w:t>
      </w:r>
      <w:proofErr w:type="spellStart"/>
      <w:r w:rsidRPr="00323EDB">
        <w:rPr>
          <w:i/>
          <w:iCs/>
          <w:sz w:val="22"/>
          <w:szCs w:val="22"/>
          <w:lang w:val="pt-BR"/>
        </w:rPr>
        <w:t>Teaching</w:t>
      </w:r>
      <w:proofErr w:type="spellEnd"/>
      <w:r w:rsidRPr="00323EDB">
        <w:rPr>
          <w:i/>
          <w:iCs/>
          <w:sz w:val="22"/>
          <w:szCs w:val="22"/>
          <w:lang w:val="pt-BR"/>
        </w:rPr>
        <w:t xml:space="preserve"> </w:t>
      </w:r>
      <w:proofErr w:type="spellStart"/>
      <w:r w:rsidRPr="00323EDB">
        <w:rPr>
          <w:i/>
          <w:iCs/>
          <w:sz w:val="22"/>
          <w:szCs w:val="22"/>
          <w:lang w:val="pt-BR"/>
        </w:rPr>
        <w:t>and</w:t>
      </w:r>
      <w:proofErr w:type="spellEnd"/>
      <w:r w:rsidRPr="00323EDB">
        <w:rPr>
          <w:i/>
          <w:iCs/>
          <w:sz w:val="22"/>
          <w:szCs w:val="22"/>
          <w:lang w:val="pt-BR"/>
        </w:rPr>
        <w:t xml:space="preserve"> Learning </w:t>
      </w:r>
      <w:proofErr w:type="spellStart"/>
      <w:r w:rsidRPr="00323EDB">
        <w:rPr>
          <w:i/>
          <w:iCs/>
          <w:sz w:val="22"/>
          <w:szCs w:val="22"/>
          <w:lang w:val="pt-BR"/>
        </w:rPr>
        <w:t>of</w:t>
      </w:r>
      <w:proofErr w:type="spellEnd"/>
      <w:r w:rsidRPr="00323EDB">
        <w:rPr>
          <w:i/>
          <w:iCs/>
          <w:sz w:val="22"/>
          <w:szCs w:val="22"/>
          <w:lang w:val="pt-BR"/>
        </w:rPr>
        <w:t xml:space="preserve"> </w:t>
      </w:r>
      <w:proofErr w:type="spellStart"/>
      <w:r w:rsidRPr="00323EDB">
        <w:rPr>
          <w:i/>
          <w:iCs/>
          <w:sz w:val="22"/>
          <w:szCs w:val="22"/>
          <w:lang w:val="pt-BR"/>
        </w:rPr>
        <w:t>Mathematical</w:t>
      </w:r>
      <w:proofErr w:type="spellEnd"/>
      <w:r w:rsidRPr="00323EDB">
        <w:rPr>
          <w:i/>
          <w:iCs/>
          <w:sz w:val="22"/>
          <w:szCs w:val="22"/>
          <w:lang w:val="pt-BR"/>
        </w:rPr>
        <w:t xml:space="preserve"> </w:t>
      </w:r>
      <w:proofErr w:type="spellStart"/>
      <w:r w:rsidRPr="00323EDB">
        <w:rPr>
          <w:i/>
          <w:iCs/>
          <w:sz w:val="22"/>
          <w:szCs w:val="22"/>
          <w:lang w:val="pt-BR"/>
        </w:rPr>
        <w:t>Modelling</w:t>
      </w:r>
      <w:proofErr w:type="spellEnd"/>
      <w:r w:rsidRPr="00323EDB">
        <w:rPr>
          <w:sz w:val="22"/>
          <w:szCs w:val="22"/>
          <w:lang w:val="pt-BR"/>
        </w:rPr>
        <w:t xml:space="preserve"> (527-538). Springer, </w:t>
      </w:r>
      <w:proofErr w:type="spellStart"/>
      <w:r w:rsidRPr="00323EDB">
        <w:rPr>
          <w:sz w:val="22"/>
          <w:szCs w:val="22"/>
          <w:lang w:val="pt-BR"/>
        </w:rPr>
        <w:t>Cham</w:t>
      </w:r>
      <w:proofErr w:type="spellEnd"/>
      <w:r w:rsidRPr="00323EDB">
        <w:rPr>
          <w:sz w:val="22"/>
          <w:szCs w:val="22"/>
          <w:lang w:val="pt-BR"/>
        </w:rPr>
        <w:t xml:space="preserve">. </w:t>
      </w:r>
    </w:p>
    <w:p w14:paraId="377500CA"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1D45AD">
        <w:rPr>
          <w:sz w:val="22"/>
          <w:szCs w:val="22"/>
          <w:lang w:val="fr-FR"/>
        </w:rPr>
        <w:t xml:space="preserve">Coulange, L. (1998). </w:t>
      </w:r>
      <w:r w:rsidRPr="00323EDB">
        <w:rPr>
          <w:sz w:val="22"/>
          <w:szCs w:val="22"/>
          <w:lang w:val="fr-FR"/>
        </w:rPr>
        <w:t xml:space="preserve">Les problèmes « concrets » à « mettre en équation » dans l’enseignement. </w:t>
      </w:r>
      <w:r w:rsidRPr="00323EDB">
        <w:rPr>
          <w:i/>
          <w:iCs/>
          <w:sz w:val="22"/>
          <w:szCs w:val="22"/>
          <w:lang w:val="fr-FR"/>
        </w:rPr>
        <w:t>Petit x</w:t>
      </w:r>
      <w:r w:rsidRPr="00323EDB">
        <w:rPr>
          <w:sz w:val="22"/>
          <w:szCs w:val="22"/>
          <w:lang w:val="fr-FR"/>
        </w:rPr>
        <w:t>, 47, 33–58.</w:t>
      </w:r>
    </w:p>
    <w:p w14:paraId="59CDE344"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fr-FR"/>
        </w:rPr>
        <w:t>Derouet, CH. (2016).</w:t>
      </w:r>
      <w:r w:rsidRPr="00323EDB">
        <w:rPr>
          <w:i/>
          <w:sz w:val="22"/>
          <w:szCs w:val="22"/>
          <w:lang w:val="fr-FR"/>
        </w:rPr>
        <w:t xml:space="preserve"> La fonction de densité au carrefour entre probabilités et analyse en terminale S.</w:t>
      </w:r>
      <w:r w:rsidRPr="00323EDB">
        <w:rPr>
          <w:sz w:val="22"/>
          <w:szCs w:val="22"/>
          <w:lang w:val="fr-FR"/>
        </w:rPr>
        <w:t xml:space="preserve"> Tesis Doctoral. </w:t>
      </w:r>
      <w:r w:rsidRPr="00323EDB">
        <w:rPr>
          <w:sz w:val="22"/>
          <w:szCs w:val="22"/>
          <w:lang w:val="es-CL"/>
        </w:rPr>
        <w:t>Universidad de Paris Diderot (Paris 7), Francia. Disponible en:</w:t>
      </w:r>
      <w:hyperlink r:id="rId33" w:history="1">
        <w:r w:rsidRPr="00323EDB">
          <w:rPr>
            <w:sz w:val="22"/>
            <w:szCs w:val="22"/>
            <w:lang w:val="es-CL"/>
          </w:rPr>
          <w:t xml:space="preserve"> http://theses.md.univ-paris-diderot.fr/DEROUET_charlotte_2_va_20161125.pdf</w:t>
        </w:r>
      </w:hyperlink>
      <w:bookmarkStart w:id="2" w:name="_Hlk43902544"/>
    </w:p>
    <w:p w14:paraId="23BA5614"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Denzin, N. y Lincoln, Y., 2012, </w:t>
      </w:r>
      <w:r w:rsidRPr="00323EDB">
        <w:rPr>
          <w:i/>
          <w:sz w:val="22"/>
          <w:szCs w:val="22"/>
          <w:lang w:val="es-CL"/>
        </w:rPr>
        <w:t>Manual de investigación cualitativa</w:t>
      </w:r>
      <w:r w:rsidRPr="00323EDB">
        <w:rPr>
          <w:sz w:val="22"/>
          <w:szCs w:val="22"/>
          <w:lang w:val="es-CL"/>
        </w:rPr>
        <w:t>, Gedisa.</w:t>
      </w:r>
      <w:bookmarkEnd w:id="2"/>
    </w:p>
    <w:p w14:paraId="4D1A9F5E"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Denzin, N. K. (1978). </w:t>
      </w:r>
      <w:r w:rsidRPr="00323EDB">
        <w:rPr>
          <w:i/>
          <w:sz w:val="22"/>
          <w:szCs w:val="22"/>
          <w:lang w:val="en-US"/>
        </w:rPr>
        <w:t>The Research Act: A Theoretical Introduction to Sociological Method</w:t>
      </w:r>
      <w:r w:rsidRPr="00323EDB">
        <w:rPr>
          <w:sz w:val="22"/>
          <w:szCs w:val="22"/>
          <w:lang w:val="en-US"/>
        </w:rPr>
        <w:t xml:space="preserve"> (2.ª ed.). Nueva York: McGraw-Hill.</w:t>
      </w:r>
    </w:p>
    <w:p w14:paraId="4EF1F5F8"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proofErr w:type="spellStart"/>
      <w:r w:rsidRPr="00F546B3">
        <w:rPr>
          <w:sz w:val="22"/>
          <w:szCs w:val="22"/>
          <w:lang w:val="en-US"/>
        </w:rPr>
        <w:t>Doerr</w:t>
      </w:r>
      <w:proofErr w:type="spellEnd"/>
      <w:r w:rsidRPr="00F546B3">
        <w:rPr>
          <w:sz w:val="22"/>
          <w:szCs w:val="22"/>
          <w:lang w:val="en-US"/>
        </w:rPr>
        <w:t xml:space="preserve">, H., </w:t>
      </w:r>
      <w:proofErr w:type="spellStart"/>
      <w:r w:rsidRPr="00F546B3">
        <w:rPr>
          <w:sz w:val="22"/>
          <w:szCs w:val="22"/>
          <w:lang w:val="en-US"/>
        </w:rPr>
        <w:t>Ärlebäck</w:t>
      </w:r>
      <w:proofErr w:type="spellEnd"/>
      <w:r w:rsidRPr="00F546B3">
        <w:rPr>
          <w:sz w:val="22"/>
          <w:szCs w:val="22"/>
          <w:lang w:val="en-US"/>
        </w:rPr>
        <w:t xml:space="preserve">, J., y </w:t>
      </w:r>
      <w:proofErr w:type="spellStart"/>
      <w:r w:rsidRPr="00F546B3">
        <w:rPr>
          <w:sz w:val="22"/>
          <w:szCs w:val="22"/>
          <w:lang w:val="en-US"/>
        </w:rPr>
        <w:t>Misfeldt</w:t>
      </w:r>
      <w:proofErr w:type="spellEnd"/>
      <w:r w:rsidRPr="00F546B3">
        <w:rPr>
          <w:sz w:val="22"/>
          <w:szCs w:val="22"/>
          <w:lang w:val="en-US"/>
        </w:rPr>
        <w:t xml:space="preserve">, M. (2017). </w:t>
      </w:r>
      <w:r w:rsidRPr="00323EDB">
        <w:rPr>
          <w:sz w:val="22"/>
          <w:szCs w:val="22"/>
          <w:lang w:val="en-US"/>
        </w:rPr>
        <w:t xml:space="preserve">Representations of modelling in mathematics education. In G. Stillman, W. Blum y G. Kaiser (Eds.), </w:t>
      </w:r>
      <w:r w:rsidRPr="00323EDB">
        <w:rPr>
          <w:i/>
          <w:sz w:val="22"/>
          <w:szCs w:val="22"/>
          <w:lang w:val="en-US"/>
        </w:rPr>
        <w:t>Mathematical modelling and applications: Crossing and researching boundaries in mathematics education</w:t>
      </w:r>
      <w:r w:rsidRPr="00323EDB">
        <w:rPr>
          <w:sz w:val="22"/>
          <w:szCs w:val="22"/>
          <w:lang w:val="en-US"/>
        </w:rPr>
        <w:t xml:space="preserve"> (pp. 71–82). </w:t>
      </w:r>
      <w:r w:rsidRPr="00323EDB">
        <w:rPr>
          <w:sz w:val="22"/>
          <w:szCs w:val="22"/>
          <w:lang w:val="fr-FR"/>
        </w:rPr>
        <w:t>Cham: Springer.</w:t>
      </w:r>
    </w:p>
    <w:p w14:paraId="73CF0DED"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Girand, J. C. (1997). "Modéüsatíon, simulation et expérience aléatoire". En: Enseigner les probabilités au lycée. Reims: Commission InterIREM. pp. 73-76.</w:t>
      </w:r>
    </w:p>
    <w:p w14:paraId="5714E123"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Guerrero-Ortiz, C. Y Mena-Lorca, J. (2015). Modelización en la enseñanza de las matemáticas: Matemáticos y profesores de matemáticas, sus estrategias. </w:t>
      </w:r>
      <w:r w:rsidRPr="00323EDB">
        <w:rPr>
          <w:i/>
          <w:sz w:val="22"/>
          <w:szCs w:val="22"/>
          <w:lang w:val="es-CL"/>
        </w:rPr>
        <w:t>Revista Electrónica de Investigación en Educación en Ciencias</w:t>
      </w:r>
      <w:r w:rsidRPr="00323EDB">
        <w:rPr>
          <w:sz w:val="22"/>
          <w:szCs w:val="22"/>
          <w:lang w:val="es-CL"/>
        </w:rPr>
        <w:t xml:space="preserve">, </w:t>
      </w:r>
      <w:r w:rsidRPr="00323EDB">
        <w:rPr>
          <w:i/>
          <w:sz w:val="22"/>
          <w:szCs w:val="22"/>
          <w:lang w:val="es-CL"/>
        </w:rPr>
        <w:t>10</w:t>
      </w:r>
      <w:r w:rsidRPr="00323EDB">
        <w:rPr>
          <w:sz w:val="22"/>
          <w:szCs w:val="22"/>
          <w:lang w:val="es-CL"/>
        </w:rPr>
        <w:t>(1), 1-13.</w:t>
      </w:r>
    </w:p>
    <w:p w14:paraId="4BA5278C"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Guerrero-Ortiz, C., Mena-Lorca, J., y Soto, A. M. (2018). </w:t>
      </w:r>
      <w:r w:rsidRPr="00323EDB">
        <w:rPr>
          <w:sz w:val="22"/>
          <w:szCs w:val="22"/>
          <w:lang w:val="en-US"/>
        </w:rPr>
        <w:t xml:space="preserve">Fostering transit between real world and mathematical world: Some phases on the modelling cycle. </w:t>
      </w:r>
      <w:r w:rsidRPr="00323EDB">
        <w:rPr>
          <w:i/>
          <w:sz w:val="22"/>
          <w:szCs w:val="22"/>
          <w:lang w:val="en-US"/>
        </w:rPr>
        <w:t>International</w:t>
      </w:r>
      <w:r w:rsidRPr="00323EDB">
        <w:rPr>
          <w:i/>
          <w:sz w:val="22"/>
          <w:szCs w:val="22"/>
          <w:lang w:val="en-US"/>
        </w:rPr>
        <w:br/>
        <w:t>Journal of Science and Mathematics Education</w:t>
      </w:r>
      <w:r w:rsidRPr="00323EDB">
        <w:rPr>
          <w:sz w:val="22"/>
          <w:szCs w:val="22"/>
          <w:lang w:val="en-US"/>
        </w:rPr>
        <w:t xml:space="preserve">, </w:t>
      </w:r>
      <w:r w:rsidRPr="00323EDB">
        <w:rPr>
          <w:i/>
          <w:sz w:val="22"/>
          <w:szCs w:val="22"/>
          <w:lang w:val="en-US"/>
        </w:rPr>
        <w:t>16</w:t>
      </w:r>
      <w:r w:rsidRPr="00323EDB">
        <w:rPr>
          <w:sz w:val="22"/>
          <w:szCs w:val="22"/>
          <w:lang w:val="en-US"/>
        </w:rPr>
        <w:t>(8), 1-27.</w:t>
      </w:r>
    </w:p>
    <w:p w14:paraId="44495552"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n-US"/>
        </w:rPr>
        <w:t xml:space="preserve">Guerrero-Ortiz, C. y </w:t>
      </w:r>
      <w:proofErr w:type="spellStart"/>
      <w:r w:rsidRPr="00323EDB">
        <w:rPr>
          <w:sz w:val="22"/>
          <w:szCs w:val="22"/>
          <w:lang w:val="en-US"/>
        </w:rPr>
        <w:t>Henríquez</w:t>
      </w:r>
      <w:proofErr w:type="spellEnd"/>
      <w:r w:rsidRPr="00323EDB">
        <w:rPr>
          <w:sz w:val="22"/>
          <w:szCs w:val="22"/>
          <w:lang w:val="en-US"/>
        </w:rPr>
        <w:t xml:space="preserve">-Rivas, C. (2018). </w:t>
      </w:r>
      <w:r w:rsidRPr="00323EDB">
        <w:rPr>
          <w:sz w:val="22"/>
          <w:szCs w:val="22"/>
          <w:lang w:val="es-CL"/>
        </w:rPr>
        <w:t xml:space="preserve">El rol de las tareas y diferentes heurísticas de solución: una discusión entre modelización y ETM. </w:t>
      </w:r>
      <w:r w:rsidRPr="00323EDB">
        <w:rPr>
          <w:sz w:val="22"/>
          <w:szCs w:val="22"/>
          <w:lang w:val="fr-FR"/>
        </w:rPr>
        <w:t xml:space="preserve">En Montoya, E., Richard, P., Vivier, L., </w:t>
      </w:r>
      <w:r w:rsidRPr="00323EDB">
        <w:rPr>
          <w:i/>
          <w:iCs/>
          <w:sz w:val="22"/>
          <w:szCs w:val="22"/>
          <w:lang w:val="fr-FR"/>
        </w:rPr>
        <w:t>Actas Sixième Symposium sur le Travail Mathématique</w:t>
      </w:r>
      <w:r w:rsidRPr="00323EDB">
        <w:rPr>
          <w:sz w:val="22"/>
          <w:szCs w:val="22"/>
          <w:lang w:val="fr-FR"/>
        </w:rPr>
        <w:t xml:space="preserve">. </w:t>
      </w:r>
      <w:r w:rsidRPr="00323EDB">
        <w:rPr>
          <w:sz w:val="22"/>
          <w:szCs w:val="22"/>
          <w:lang w:val="es-CL"/>
        </w:rPr>
        <w:t>(p. 545-560). Valparaíso: Ediciones PUCV.</w:t>
      </w:r>
    </w:p>
    <w:p w14:paraId="0AC3D5F0"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proofErr w:type="spellStart"/>
      <w:r w:rsidRPr="00F546B3">
        <w:rPr>
          <w:sz w:val="22"/>
          <w:szCs w:val="22"/>
          <w:lang w:val="es-CL"/>
        </w:rPr>
        <w:t>Haines</w:t>
      </w:r>
      <w:proofErr w:type="spellEnd"/>
      <w:r w:rsidRPr="00F546B3">
        <w:rPr>
          <w:sz w:val="22"/>
          <w:szCs w:val="22"/>
          <w:lang w:val="es-CL"/>
        </w:rPr>
        <w:t xml:space="preserve">, C., </w:t>
      </w:r>
      <w:proofErr w:type="spellStart"/>
      <w:r w:rsidRPr="00F546B3">
        <w:rPr>
          <w:sz w:val="22"/>
          <w:szCs w:val="22"/>
          <w:lang w:val="es-CL"/>
        </w:rPr>
        <w:t>Gabraith</w:t>
      </w:r>
      <w:proofErr w:type="spellEnd"/>
      <w:r w:rsidRPr="00F546B3">
        <w:rPr>
          <w:sz w:val="22"/>
          <w:szCs w:val="22"/>
          <w:lang w:val="es-CL"/>
        </w:rPr>
        <w:t xml:space="preserve">, P. Blum, W. y Khan, S. (2007). </w:t>
      </w:r>
      <w:r w:rsidRPr="00323EDB">
        <w:rPr>
          <w:i/>
          <w:sz w:val="22"/>
          <w:szCs w:val="22"/>
          <w:lang w:val="en-US"/>
        </w:rPr>
        <w:t>Mathematical modelling (ICTMA 12): Education, Engineering and Economics</w:t>
      </w:r>
      <w:r w:rsidRPr="00323EDB">
        <w:rPr>
          <w:sz w:val="22"/>
          <w:szCs w:val="22"/>
          <w:lang w:val="en-US"/>
        </w:rPr>
        <w:t xml:space="preserve">. </w:t>
      </w:r>
      <w:r w:rsidRPr="00323EDB">
        <w:rPr>
          <w:sz w:val="22"/>
          <w:szCs w:val="22"/>
          <w:lang w:val="fr-FR"/>
        </w:rPr>
        <w:t>Chichester: Horwood.</w:t>
      </w:r>
    </w:p>
    <w:p w14:paraId="41601E3C"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Henry, M. (1997). "Notion de modele et modélization en l'enseignement". En: Enseig-ner les probabilités au lycée. Reims: Commission Inter-IREM. pp. 77-84.</w:t>
      </w:r>
    </w:p>
    <w:p w14:paraId="3BFC4A33"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fr-FR"/>
        </w:rPr>
        <w:t xml:space="preserve">Henry, M. (2001). Notion de modèle et modélisation dans l’enseignement, Autour de la modélisation en probabilités, Commission inter-IREM Statistique et Probabilités, ouv. </w:t>
      </w:r>
      <w:proofErr w:type="spellStart"/>
      <w:r w:rsidRPr="00323EDB">
        <w:rPr>
          <w:sz w:val="22"/>
          <w:szCs w:val="22"/>
          <w:lang w:val="en-US"/>
        </w:rPr>
        <w:t>Cité</w:t>
      </w:r>
      <w:proofErr w:type="spellEnd"/>
    </w:p>
    <w:p w14:paraId="3C6EC6EE"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en-US"/>
        </w:rPr>
        <w:t xml:space="preserve">Kaiser, G. (2020). Mathematical modelling and applications in education. </w:t>
      </w:r>
      <w:proofErr w:type="spellStart"/>
      <w:r w:rsidRPr="00323EDB">
        <w:rPr>
          <w:sz w:val="22"/>
          <w:szCs w:val="22"/>
          <w:lang w:val="en-US"/>
        </w:rPr>
        <w:t>En</w:t>
      </w:r>
      <w:proofErr w:type="spellEnd"/>
      <w:r w:rsidRPr="00323EDB">
        <w:rPr>
          <w:sz w:val="22"/>
          <w:szCs w:val="22"/>
          <w:lang w:val="en-US"/>
        </w:rPr>
        <w:t xml:space="preserve"> </w:t>
      </w:r>
      <w:proofErr w:type="spellStart"/>
      <w:r w:rsidRPr="00323EDB">
        <w:rPr>
          <w:sz w:val="22"/>
          <w:szCs w:val="22"/>
          <w:lang w:val="en-US"/>
        </w:rPr>
        <w:t>Lerman</w:t>
      </w:r>
      <w:proofErr w:type="spellEnd"/>
      <w:r w:rsidRPr="00323EDB">
        <w:rPr>
          <w:sz w:val="22"/>
          <w:szCs w:val="22"/>
          <w:lang w:val="en-US"/>
        </w:rPr>
        <w:t xml:space="preserve">, S. (Ed.), </w:t>
      </w:r>
      <w:r w:rsidRPr="00323EDB">
        <w:rPr>
          <w:i/>
          <w:sz w:val="22"/>
          <w:szCs w:val="22"/>
          <w:lang w:val="en-US"/>
        </w:rPr>
        <w:t>Encyclopedia of Mathematics Education</w:t>
      </w:r>
      <w:r w:rsidRPr="00323EDB">
        <w:rPr>
          <w:sz w:val="22"/>
          <w:szCs w:val="22"/>
          <w:lang w:val="en-US"/>
        </w:rPr>
        <w:t xml:space="preserve"> (pp. 553-561). </w:t>
      </w:r>
      <w:r w:rsidRPr="00323EDB">
        <w:rPr>
          <w:sz w:val="22"/>
          <w:szCs w:val="22"/>
          <w:lang w:val="fr-FR"/>
        </w:rPr>
        <w:t>Springer.</w:t>
      </w:r>
    </w:p>
    <w:p w14:paraId="68EC2827" w14:textId="30A815EC"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 xml:space="preserve">Kuzniak, A. (2011). L’Espace de Travail Mathematique et ses genèses. </w:t>
      </w:r>
      <w:r w:rsidRPr="00323EDB">
        <w:rPr>
          <w:i/>
          <w:sz w:val="22"/>
          <w:szCs w:val="22"/>
          <w:lang w:val="fr-FR"/>
        </w:rPr>
        <w:t>Annales de Didactique et de Sciences Cognitives</w:t>
      </w:r>
      <w:r w:rsidRPr="00323EDB">
        <w:rPr>
          <w:sz w:val="22"/>
          <w:szCs w:val="22"/>
          <w:lang w:val="fr-FR"/>
        </w:rPr>
        <w:t xml:space="preserve">, </w:t>
      </w:r>
      <w:r w:rsidRPr="00323EDB">
        <w:rPr>
          <w:i/>
          <w:sz w:val="22"/>
          <w:szCs w:val="22"/>
          <w:lang w:val="fr-FR"/>
        </w:rPr>
        <w:t>16</w:t>
      </w:r>
      <w:r w:rsidRPr="00323EDB">
        <w:rPr>
          <w:sz w:val="22"/>
          <w:szCs w:val="22"/>
          <w:lang w:val="fr-FR"/>
        </w:rPr>
        <w:t xml:space="preserve">, 9–24. </w:t>
      </w:r>
      <w:proofErr w:type="spellStart"/>
      <w:r w:rsidRPr="00323EDB">
        <w:rPr>
          <w:sz w:val="22"/>
          <w:szCs w:val="22"/>
          <w:lang w:val="fr-FR"/>
        </w:rPr>
        <w:t>Recuperado</w:t>
      </w:r>
      <w:proofErr w:type="spellEnd"/>
      <w:r w:rsidRPr="00323EDB">
        <w:rPr>
          <w:sz w:val="22"/>
          <w:szCs w:val="22"/>
          <w:lang w:val="fr-FR"/>
        </w:rPr>
        <w:t xml:space="preserve"> de </w:t>
      </w:r>
      <w:hyperlink r:id="rId34" w:history="1">
        <w:r w:rsidRPr="00323EDB">
          <w:rPr>
            <w:rStyle w:val="Hipervnculo"/>
            <w:color w:val="auto"/>
            <w:sz w:val="22"/>
            <w:szCs w:val="22"/>
            <w:lang w:val="fr-FR"/>
          </w:rPr>
          <w:t>http://www.irem.univ-paris-diderot.fr/~kuzniak/publi/ETM_FR/Annales_16.pdf</w:t>
        </w:r>
      </w:hyperlink>
    </w:p>
    <w:p w14:paraId="46A7500E"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fr-FR"/>
        </w:rPr>
        <w:t xml:space="preserve">Kuzniak, A., y Richard, P. (2014). </w:t>
      </w:r>
      <w:r w:rsidRPr="00323EDB">
        <w:rPr>
          <w:sz w:val="22"/>
          <w:szCs w:val="22"/>
          <w:lang w:val="en-US"/>
        </w:rPr>
        <w:t xml:space="preserve">Spaces for mathematical work: Viewpoints and perspectives. </w:t>
      </w:r>
      <w:proofErr w:type="spellStart"/>
      <w:r w:rsidRPr="00323EDB">
        <w:rPr>
          <w:i/>
          <w:sz w:val="22"/>
          <w:szCs w:val="22"/>
          <w:lang w:val="en-US"/>
        </w:rPr>
        <w:t>Revista</w:t>
      </w:r>
      <w:proofErr w:type="spellEnd"/>
      <w:r w:rsidRPr="00323EDB">
        <w:rPr>
          <w:i/>
          <w:sz w:val="22"/>
          <w:szCs w:val="22"/>
          <w:lang w:val="en-US"/>
        </w:rPr>
        <w:t xml:space="preserve"> </w:t>
      </w:r>
      <w:proofErr w:type="spellStart"/>
      <w:r w:rsidRPr="00323EDB">
        <w:rPr>
          <w:i/>
          <w:sz w:val="22"/>
          <w:szCs w:val="22"/>
          <w:lang w:val="en-US"/>
        </w:rPr>
        <w:t>Latinoamericana</w:t>
      </w:r>
      <w:proofErr w:type="spellEnd"/>
      <w:r w:rsidRPr="00323EDB">
        <w:rPr>
          <w:i/>
          <w:sz w:val="22"/>
          <w:szCs w:val="22"/>
          <w:lang w:val="en-US"/>
        </w:rPr>
        <w:t xml:space="preserve"> de </w:t>
      </w:r>
      <w:proofErr w:type="spellStart"/>
      <w:r w:rsidRPr="00323EDB">
        <w:rPr>
          <w:i/>
          <w:sz w:val="22"/>
          <w:szCs w:val="22"/>
          <w:lang w:val="en-US"/>
        </w:rPr>
        <w:t>Investigación</w:t>
      </w:r>
      <w:proofErr w:type="spellEnd"/>
      <w:r w:rsidRPr="00323EDB">
        <w:rPr>
          <w:i/>
          <w:sz w:val="22"/>
          <w:szCs w:val="22"/>
          <w:lang w:val="en-US"/>
        </w:rPr>
        <w:t xml:space="preserve"> </w:t>
      </w:r>
      <w:proofErr w:type="spellStart"/>
      <w:r w:rsidRPr="00323EDB">
        <w:rPr>
          <w:i/>
          <w:sz w:val="22"/>
          <w:szCs w:val="22"/>
          <w:lang w:val="en-US"/>
        </w:rPr>
        <w:t>en</w:t>
      </w:r>
      <w:proofErr w:type="spellEnd"/>
      <w:r w:rsidRPr="00323EDB">
        <w:rPr>
          <w:i/>
          <w:sz w:val="22"/>
          <w:szCs w:val="22"/>
          <w:lang w:val="en-US"/>
        </w:rPr>
        <w:t xml:space="preserve"> </w:t>
      </w:r>
      <w:proofErr w:type="spellStart"/>
      <w:r w:rsidRPr="00323EDB">
        <w:rPr>
          <w:i/>
          <w:sz w:val="22"/>
          <w:szCs w:val="22"/>
          <w:lang w:val="en-US"/>
        </w:rPr>
        <w:t>Matemática</w:t>
      </w:r>
      <w:proofErr w:type="spellEnd"/>
      <w:r w:rsidRPr="00323EDB">
        <w:rPr>
          <w:i/>
          <w:sz w:val="22"/>
          <w:szCs w:val="22"/>
          <w:lang w:val="en-US"/>
        </w:rPr>
        <w:t xml:space="preserve"> </w:t>
      </w:r>
      <w:proofErr w:type="spellStart"/>
      <w:r w:rsidRPr="00323EDB">
        <w:rPr>
          <w:i/>
          <w:sz w:val="22"/>
          <w:szCs w:val="22"/>
          <w:lang w:val="en-US"/>
        </w:rPr>
        <w:t>Educativa</w:t>
      </w:r>
      <w:proofErr w:type="spellEnd"/>
      <w:r w:rsidRPr="00323EDB">
        <w:rPr>
          <w:sz w:val="22"/>
          <w:szCs w:val="22"/>
          <w:lang w:val="en-US"/>
        </w:rPr>
        <w:t xml:space="preserve">, </w:t>
      </w:r>
      <w:r w:rsidRPr="00323EDB">
        <w:rPr>
          <w:i/>
          <w:sz w:val="22"/>
          <w:szCs w:val="22"/>
          <w:lang w:val="en-US"/>
        </w:rPr>
        <w:t>17</w:t>
      </w:r>
      <w:r w:rsidRPr="00323EDB">
        <w:rPr>
          <w:sz w:val="22"/>
          <w:szCs w:val="22"/>
          <w:lang w:val="en-US"/>
        </w:rPr>
        <w:t>(4.1), 17–26.</w:t>
      </w:r>
    </w:p>
    <w:p w14:paraId="07C8FC0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Lagrange, J. (2015). Functions in technological environments: from multi-representations to connected functional workspaces. </w:t>
      </w:r>
      <w:r w:rsidRPr="00323EDB">
        <w:rPr>
          <w:sz w:val="22"/>
          <w:szCs w:val="22"/>
          <w:lang w:val="es-CL"/>
        </w:rPr>
        <w:t xml:space="preserve">En I. Gómez-Chacón, J. Escribano, A. Kuzniak y P. Richard. </w:t>
      </w:r>
      <w:r w:rsidRPr="00323EDB">
        <w:rPr>
          <w:i/>
          <w:sz w:val="22"/>
          <w:szCs w:val="22"/>
          <w:lang w:val="es-CL"/>
        </w:rPr>
        <w:t>Espacio de Trabajo Matemático: Actas Cuarto Simposio Internacional ETM</w:t>
      </w:r>
      <w:r w:rsidRPr="00323EDB">
        <w:rPr>
          <w:sz w:val="22"/>
          <w:szCs w:val="22"/>
          <w:lang w:val="es-CL"/>
        </w:rPr>
        <w:t xml:space="preserve">, p. 317-336. </w:t>
      </w:r>
      <w:r w:rsidRPr="00323EDB">
        <w:rPr>
          <w:sz w:val="22"/>
          <w:szCs w:val="22"/>
          <w:lang w:val="en-US"/>
        </w:rPr>
        <w:t xml:space="preserve">Madrid: Universidad </w:t>
      </w:r>
      <w:proofErr w:type="spellStart"/>
      <w:r w:rsidRPr="00323EDB">
        <w:rPr>
          <w:sz w:val="22"/>
          <w:szCs w:val="22"/>
          <w:lang w:val="en-US"/>
        </w:rPr>
        <w:t>Complutense</w:t>
      </w:r>
      <w:proofErr w:type="spellEnd"/>
      <w:r w:rsidRPr="00323EDB">
        <w:rPr>
          <w:sz w:val="22"/>
          <w:szCs w:val="22"/>
          <w:lang w:val="en-US"/>
        </w:rPr>
        <w:t xml:space="preserve"> de Madrid.</w:t>
      </w:r>
    </w:p>
    <w:p w14:paraId="6BF7B401"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n-US"/>
        </w:rPr>
        <w:t xml:space="preserve">Lagrange, J-B. (2018). Connected working spaces: designing and evaluating modelling-based teaching situations. </w:t>
      </w:r>
      <w:r w:rsidRPr="00323EDB">
        <w:rPr>
          <w:i/>
          <w:iCs/>
          <w:sz w:val="22"/>
          <w:szCs w:val="22"/>
          <w:lang w:val="es-CL"/>
        </w:rPr>
        <w:t>PME</w:t>
      </w:r>
      <w:r w:rsidRPr="00323EDB">
        <w:rPr>
          <w:sz w:val="22"/>
          <w:szCs w:val="22"/>
          <w:u w:val="single"/>
          <w:lang w:val="es-CL"/>
        </w:rPr>
        <w:t xml:space="preserve">, </w:t>
      </w:r>
      <w:r w:rsidRPr="00323EDB">
        <w:rPr>
          <w:sz w:val="22"/>
          <w:szCs w:val="22"/>
          <w:lang w:val="es-CL"/>
        </w:rPr>
        <w:t>3, 3-298.</w:t>
      </w:r>
    </w:p>
    <w:p w14:paraId="4BEB0042"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MINEDUC (2016). </w:t>
      </w:r>
      <w:r w:rsidRPr="00323EDB">
        <w:rPr>
          <w:i/>
          <w:sz w:val="22"/>
          <w:szCs w:val="22"/>
          <w:lang w:val="es-CL"/>
        </w:rPr>
        <w:t>Bases Curriculares 7º Básico a 2ª medio</w:t>
      </w:r>
      <w:r w:rsidRPr="00323EDB">
        <w:rPr>
          <w:sz w:val="22"/>
          <w:szCs w:val="22"/>
          <w:lang w:val="es-CL"/>
        </w:rPr>
        <w:t>. Santiago: Ministerio de Educación.</w:t>
      </w:r>
    </w:p>
    <w:p w14:paraId="144F8BE3"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Modelos Matemáticos en Biología (2019). Apunte del curso para Licenciatura de Biología, Universidad de </w:t>
      </w:r>
      <w:proofErr w:type="spellStart"/>
      <w:r w:rsidRPr="00323EDB">
        <w:rPr>
          <w:sz w:val="22"/>
          <w:szCs w:val="22"/>
          <w:lang w:val="es-CL"/>
        </w:rPr>
        <w:t>Jaen</w:t>
      </w:r>
      <w:proofErr w:type="spellEnd"/>
      <w:r w:rsidRPr="00323EDB">
        <w:rPr>
          <w:sz w:val="22"/>
          <w:szCs w:val="22"/>
          <w:lang w:val="es-CL"/>
        </w:rPr>
        <w:t xml:space="preserve">, España. </w:t>
      </w:r>
      <w:hyperlink r:id="rId35" w:history="1">
        <w:r w:rsidRPr="00323EDB">
          <w:rPr>
            <w:rStyle w:val="Hipervnculo"/>
            <w:color w:val="auto"/>
            <w:sz w:val="22"/>
            <w:szCs w:val="22"/>
            <w:lang w:val="es-CL"/>
          </w:rPr>
          <w:t>http://matema.ujaen.es/jnavas/web_modelos/index.htm</w:t>
        </w:r>
      </w:hyperlink>
      <w:r w:rsidRPr="00323EDB">
        <w:rPr>
          <w:sz w:val="22"/>
          <w:szCs w:val="22"/>
          <w:lang w:val="es-CL"/>
        </w:rPr>
        <w:t xml:space="preserve">, [Online; </w:t>
      </w:r>
      <w:proofErr w:type="spellStart"/>
      <w:r w:rsidRPr="00323EDB">
        <w:rPr>
          <w:sz w:val="22"/>
          <w:szCs w:val="22"/>
          <w:lang w:val="es-CL"/>
        </w:rPr>
        <w:t>accesado</w:t>
      </w:r>
      <w:proofErr w:type="spellEnd"/>
      <w:r w:rsidRPr="00323EDB">
        <w:rPr>
          <w:sz w:val="22"/>
          <w:szCs w:val="22"/>
          <w:lang w:val="es-CL"/>
        </w:rPr>
        <w:t xml:space="preserve"> 2019].</w:t>
      </w:r>
    </w:p>
    <w:p w14:paraId="4D34CFCD"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Navarra: depósito académico digital. Universidad de Navarra. </w:t>
      </w:r>
    </w:p>
    <w:p w14:paraId="3B8DF3A8"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es-CL"/>
        </w:rPr>
        <w:t xml:space="preserve">Montoya-Delgadillo, Richard, P., Vivier, L., Gómez-Chacón, M.I., Kuzniak, A., </w:t>
      </w:r>
      <w:proofErr w:type="spellStart"/>
      <w:r w:rsidRPr="00323EDB">
        <w:rPr>
          <w:sz w:val="22"/>
          <w:szCs w:val="22"/>
          <w:lang w:val="es-CL"/>
        </w:rPr>
        <w:t>Maschietto</w:t>
      </w:r>
      <w:proofErr w:type="spellEnd"/>
      <w:r w:rsidRPr="00323EDB">
        <w:rPr>
          <w:sz w:val="22"/>
          <w:szCs w:val="22"/>
          <w:lang w:val="es-CL"/>
        </w:rPr>
        <w:t xml:space="preserve">, M., </w:t>
      </w:r>
      <w:proofErr w:type="spellStart"/>
      <w:r w:rsidRPr="00323EDB">
        <w:rPr>
          <w:sz w:val="22"/>
          <w:szCs w:val="22"/>
          <w:lang w:val="es-CL"/>
        </w:rPr>
        <w:t>Tanguay</w:t>
      </w:r>
      <w:proofErr w:type="spellEnd"/>
      <w:r w:rsidRPr="00323EDB">
        <w:rPr>
          <w:sz w:val="22"/>
          <w:szCs w:val="22"/>
          <w:lang w:val="es-CL"/>
        </w:rPr>
        <w:t>, D. (2018). </w:t>
      </w:r>
      <w:r w:rsidRPr="00323EDB">
        <w:rPr>
          <w:i/>
          <w:iCs/>
          <w:sz w:val="22"/>
          <w:szCs w:val="22"/>
          <w:lang w:val="fr-FR"/>
        </w:rPr>
        <w:t>Actas Sixième Symposium sur le Travail Mathématique.</w:t>
      </w:r>
      <w:r w:rsidRPr="00323EDB">
        <w:rPr>
          <w:sz w:val="22"/>
          <w:szCs w:val="22"/>
          <w:lang w:val="fr-FR"/>
        </w:rPr>
        <w:t xml:space="preserve"> (p.5–671). Actas Sixième Symposium sur le Travail Mathématique. (p.5–671). Valparaíso: Elizabeth Montoya Delgadillo Philippe R. Richard Laurent Vivier (Editor Jefe) Inés Mª Gómez-Chacón Alain Kuzniak Michela Maschietto Denis Tanguay.  </w:t>
      </w:r>
    </w:p>
    <w:p w14:paraId="32FCAF3E"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 xml:space="preserve">Nechache, A. (2016). Comparaison de la demarche de la validation dans les spaces de travail idoines en geometrie et en probabilite. </w:t>
      </w:r>
      <w:r w:rsidRPr="00323EDB">
        <w:rPr>
          <w:sz w:val="22"/>
          <w:szCs w:val="22"/>
          <w:lang w:val="es-CL"/>
        </w:rPr>
        <w:t xml:space="preserve">En I. Gómez-Chacón, J. Escribano, A. Kuzniak y P. Richard. </w:t>
      </w:r>
      <w:r w:rsidRPr="00323EDB">
        <w:rPr>
          <w:i/>
          <w:sz w:val="22"/>
          <w:szCs w:val="22"/>
          <w:lang w:val="es-CL"/>
        </w:rPr>
        <w:t>Espacio de Trabajo Matemático: Actas Cuarto Simposio Internacional ETM</w:t>
      </w:r>
      <w:r w:rsidRPr="00323EDB">
        <w:rPr>
          <w:sz w:val="22"/>
          <w:szCs w:val="22"/>
          <w:lang w:val="es-CL"/>
        </w:rPr>
        <w:t xml:space="preserve">, (pp. 51-67). </w:t>
      </w:r>
      <w:r w:rsidRPr="00323EDB">
        <w:rPr>
          <w:sz w:val="22"/>
          <w:szCs w:val="22"/>
          <w:lang w:val="fr-FR"/>
        </w:rPr>
        <w:t>Madrid: Universidad Complutense de Madrid.</w:t>
      </w:r>
    </w:p>
    <w:p w14:paraId="41E15251"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fr-FR"/>
        </w:rPr>
        <w:t xml:space="preserve">Nechache, A. (2018). Le rôle des dimensions de l’ETM dans l’élaboration du travail mathématique dans de cadre de la résolution des tâches probabilistes. </w:t>
      </w:r>
      <w:proofErr w:type="spellStart"/>
      <w:r w:rsidRPr="00323EDB">
        <w:rPr>
          <w:i/>
          <w:sz w:val="22"/>
          <w:szCs w:val="22"/>
          <w:lang w:val="es-CL"/>
        </w:rPr>
        <w:t>Menon</w:t>
      </w:r>
      <w:proofErr w:type="spellEnd"/>
      <w:r w:rsidRPr="00323EDB">
        <w:rPr>
          <w:i/>
          <w:sz w:val="22"/>
          <w:szCs w:val="22"/>
          <w:lang w:val="es-CL"/>
        </w:rPr>
        <w:t xml:space="preserve">. </w:t>
      </w:r>
      <w:proofErr w:type="spellStart"/>
      <w:r w:rsidRPr="00323EDB">
        <w:rPr>
          <w:i/>
          <w:sz w:val="22"/>
          <w:szCs w:val="22"/>
          <w:lang w:val="es-CL"/>
        </w:rPr>
        <w:t>Journal</w:t>
      </w:r>
      <w:proofErr w:type="spellEnd"/>
      <w:r w:rsidRPr="00323EDB">
        <w:rPr>
          <w:i/>
          <w:sz w:val="22"/>
          <w:szCs w:val="22"/>
          <w:lang w:val="es-CL"/>
        </w:rPr>
        <w:t xml:space="preserve"> of </w:t>
      </w:r>
      <w:proofErr w:type="spellStart"/>
      <w:r w:rsidRPr="00323EDB">
        <w:rPr>
          <w:i/>
          <w:sz w:val="22"/>
          <w:szCs w:val="22"/>
          <w:lang w:val="es-CL"/>
        </w:rPr>
        <w:t>Educational</w:t>
      </w:r>
      <w:proofErr w:type="spellEnd"/>
      <w:r w:rsidRPr="00323EDB">
        <w:rPr>
          <w:i/>
          <w:sz w:val="22"/>
          <w:szCs w:val="22"/>
          <w:lang w:val="es-CL"/>
        </w:rPr>
        <w:t xml:space="preserve"> </w:t>
      </w:r>
      <w:proofErr w:type="spellStart"/>
      <w:r w:rsidRPr="00323EDB">
        <w:rPr>
          <w:i/>
          <w:sz w:val="22"/>
          <w:szCs w:val="22"/>
          <w:lang w:val="es-CL"/>
        </w:rPr>
        <w:t>Research</w:t>
      </w:r>
      <w:proofErr w:type="spellEnd"/>
      <w:r w:rsidRPr="00323EDB">
        <w:rPr>
          <w:sz w:val="22"/>
          <w:szCs w:val="22"/>
          <w:lang w:val="es-CL"/>
        </w:rPr>
        <w:t xml:space="preserve">, 4° </w:t>
      </w:r>
      <w:proofErr w:type="spellStart"/>
      <w:r w:rsidRPr="00323EDB">
        <w:rPr>
          <w:sz w:val="22"/>
          <w:szCs w:val="22"/>
          <w:lang w:val="es-CL"/>
        </w:rPr>
        <w:t>thematic</w:t>
      </w:r>
      <w:proofErr w:type="spellEnd"/>
      <w:r w:rsidRPr="00323EDB">
        <w:rPr>
          <w:sz w:val="22"/>
          <w:szCs w:val="22"/>
          <w:lang w:val="es-CL"/>
        </w:rPr>
        <w:t xml:space="preserve"> </w:t>
      </w:r>
      <w:proofErr w:type="spellStart"/>
      <w:r w:rsidRPr="00323EDB">
        <w:rPr>
          <w:sz w:val="22"/>
          <w:szCs w:val="22"/>
          <w:lang w:val="es-CL"/>
        </w:rPr>
        <w:t>issue</w:t>
      </w:r>
      <w:proofErr w:type="spellEnd"/>
      <w:r w:rsidRPr="00323EDB">
        <w:rPr>
          <w:sz w:val="22"/>
          <w:szCs w:val="22"/>
          <w:lang w:val="es-CL"/>
        </w:rPr>
        <w:t>, 40-53.</w:t>
      </w:r>
    </w:p>
    <w:p w14:paraId="21622A4A"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Nicolas, B. (2000). Procesos de prueba en los alumnos de matemáticas. </w:t>
      </w:r>
      <w:r w:rsidRPr="00323EDB">
        <w:rPr>
          <w:i/>
          <w:iCs/>
          <w:sz w:val="22"/>
          <w:szCs w:val="22"/>
          <w:lang w:val="es-CL"/>
        </w:rPr>
        <w:t>Una empresa docente</w:t>
      </w:r>
      <w:r w:rsidRPr="00323EDB">
        <w:rPr>
          <w:sz w:val="22"/>
          <w:szCs w:val="22"/>
          <w:lang w:val="es-CL"/>
        </w:rPr>
        <w:t>, pp.200. ffhal-00520133f</w:t>
      </w:r>
    </w:p>
    <w:p w14:paraId="671BCE1E"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Peirce, CH. (1990). Aproximación a la semiótica de Charles S. Peirce. Acciones Revista d la teoría del análisis. Universidad Autónoma Metropolitana.</w:t>
      </w:r>
    </w:p>
    <w:p w14:paraId="70F26335"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Rivas, M. U. 1996. Frege y Peirce: en torno al signo y su fundamento. </w:t>
      </w:r>
      <w:r w:rsidRPr="00323EDB">
        <w:rPr>
          <w:sz w:val="22"/>
          <w:szCs w:val="22"/>
          <w:lang w:val="en-US"/>
        </w:rPr>
        <w:t>REV - AF, vol. 29, nº 3: [20].</w:t>
      </w:r>
    </w:p>
    <w:p w14:paraId="2D8B7A50"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n-US"/>
        </w:rPr>
        <w:t>Treffers</w:t>
      </w:r>
      <w:proofErr w:type="spellEnd"/>
      <w:r w:rsidRPr="00323EDB">
        <w:rPr>
          <w:sz w:val="22"/>
          <w:szCs w:val="22"/>
          <w:lang w:val="en-US"/>
        </w:rPr>
        <w:t xml:space="preserve">, A. (1987). </w:t>
      </w:r>
      <w:r w:rsidRPr="00323EDB">
        <w:rPr>
          <w:i/>
          <w:sz w:val="22"/>
          <w:szCs w:val="22"/>
          <w:lang w:val="en-US"/>
        </w:rPr>
        <w:t xml:space="preserve">Three dimensions: A model of goal and theory descriptions in mathematics education: The </w:t>
      </w:r>
      <w:proofErr w:type="spellStart"/>
      <w:r w:rsidRPr="00323EDB">
        <w:rPr>
          <w:i/>
          <w:sz w:val="22"/>
          <w:szCs w:val="22"/>
          <w:lang w:val="en-US"/>
        </w:rPr>
        <w:t>Wiskobas</w:t>
      </w:r>
      <w:proofErr w:type="spellEnd"/>
      <w:r w:rsidRPr="00323EDB">
        <w:rPr>
          <w:i/>
          <w:sz w:val="22"/>
          <w:szCs w:val="22"/>
          <w:lang w:val="en-US"/>
        </w:rPr>
        <w:t xml:space="preserve"> Project</w:t>
      </w:r>
      <w:r w:rsidRPr="00323EDB">
        <w:rPr>
          <w:sz w:val="22"/>
          <w:szCs w:val="22"/>
          <w:lang w:val="en-US"/>
        </w:rPr>
        <w:t xml:space="preserve">. </w:t>
      </w:r>
      <w:proofErr w:type="spellStart"/>
      <w:r w:rsidRPr="00323EDB">
        <w:rPr>
          <w:sz w:val="22"/>
          <w:szCs w:val="22"/>
          <w:lang w:val="es-CL"/>
        </w:rPr>
        <w:t>Dordrecht</w:t>
      </w:r>
      <w:proofErr w:type="spellEnd"/>
      <w:r w:rsidRPr="00323EDB">
        <w:rPr>
          <w:sz w:val="22"/>
          <w:szCs w:val="22"/>
          <w:lang w:val="es-CL"/>
        </w:rPr>
        <w:t xml:space="preserve">: </w:t>
      </w:r>
      <w:proofErr w:type="spellStart"/>
      <w:r w:rsidRPr="00323EDB">
        <w:rPr>
          <w:sz w:val="22"/>
          <w:szCs w:val="22"/>
          <w:lang w:val="es-CL"/>
        </w:rPr>
        <w:t>Reidel</w:t>
      </w:r>
      <w:proofErr w:type="spellEnd"/>
      <w:r w:rsidRPr="00323EDB">
        <w:rPr>
          <w:sz w:val="22"/>
          <w:szCs w:val="22"/>
          <w:lang w:val="es-CL"/>
        </w:rPr>
        <w:t>.</w:t>
      </w:r>
    </w:p>
    <w:p w14:paraId="5375659B"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s-CL"/>
        </w:rPr>
        <w:t>Stake</w:t>
      </w:r>
      <w:proofErr w:type="spellEnd"/>
      <w:r w:rsidRPr="00323EDB">
        <w:rPr>
          <w:sz w:val="22"/>
          <w:szCs w:val="22"/>
          <w:lang w:val="es-CL"/>
        </w:rPr>
        <w:t xml:space="preserve">, R. E. (2007). </w:t>
      </w:r>
      <w:r w:rsidRPr="00323EDB">
        <w:rPr>
          <w:i/>
          <w:sz w:val="22"/>
          <w:szCs w:val="22"/>
          <w:lang w:val="es-CL"/>
        </w:rPr>
        <w:t>Investigación con estudio de casos</w:t>
      </w:r>
      <w:r w:rsidRPr="00323EDB">
        <w:rPr>
          <w:sz w:val="22"/>
          <w:szCs w:val="22"/>
          <w:lang w:val="es-CL"/>
        </w:rPr>
        <w:t>. Madrid: Morata.</w:t>
      </w:r>
      <w:bookmarkStart w:id="3" w:name="_Hlk43902747"/>
      <w:bookmarkEnd w:id="3"/>
    </w:p>
    <w:p w14:paraId="38C61A60"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Stewart, J. (2008). </w:t>
      </w:r>
      <w:r w:rsidRPr="00323EDB">
        <w:rPr>
          <w:i/>
          <w:iCs/>
          <w:sz w:val="22"/>
          <w:szCs w:val="22"/>
          <w:lang w:val="es-CL"/>
        </w:rPr>
        <w:t xml:space="preserve">Cálculo de una variable: Trascendentes tempranas. </w:t>
      </w:r>
      <w:r w:rsidRPr="00323EDB">
        <w:rPr>
          <w:sz w:val="22"/>
          <w:szCs w:val="22"/>
          <w:lang w:val="es-CL"/>
        </w:rPr>
        <w:t xml:space="preserve">Cengage </w:t>
      </w:r>
      <w:proofErr w:type="spellStart"/>
      <w:r w:rsidRPr="00323EDB">
        <w:rPr>
          <w:sz w:val="22"/>
          <w:szCs w:val="22"/>
          <w:lang w:val="es-CL"/>
        </w:rPr>
        <w:t>Learning</w:t>
      </w:r>
      <w:proofErr w:type="spellEnd"/>
      <w:r w:rsidRPr="00323EDB">
        <w:rPr>
          <w:sz w:val="22"/>
          <w:szCs w:val="22"/>
          <w:lang w:val="es-CL"/>
        </w:rPr>
        <w:t xml:space="preserve"> Editores, S.A. Sexta edición revisada y traducida.</w:t>
      </w:r>
    </w:p>
    <w:p w14:paraId="2A98FBAF"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Stillman, G., Kaiser, G., Blum, W. y Brown, J. (2013). </w:t>
      </w:r>
      <w:r w:rsidRPr="00323EDB">
        <w:rPr>
          <w:i/>
          <w:sz w:val="22"/>
          <w:szCs w:val="22"/>
          <w:lang w:val="en-US"/>
        </w:rPr>
        <w:t>Teaching mathematical modelling: connecting to research and practice</w:t>
      </w:r>
      <w:r w:rsidRPr="00323EDB">
        <w:rPr>
          <w:sz w:val="22"/>
          <w:szCs w:val="22"/>
          <w:lang w:val="en-US"/>
        </w:rPr>
        <w:t>. Dordrecht: Springer.</w:t>
      </w:r>
    </w:p>
    <w:p w14:paraId="6D6A56C4"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Stillman, G., Blum, W. y Kaiser, G. (2017). </w:t>
      </w:r>
      <w:r w:rsidRPr="00323EDB">
        <w:rPr>
          <w:i/>
          <w:sz w:val="22"/>
          <w:szCs w:val="22"/>
          <w:lang w:val="en-US"/>
        </w:rPr>
        <w:t>Mathematical modelling and applications. Crossing and researching boundaries in mathematics education</w:t>
      </w:r>
      <w:r w:rsidRPr="00323EDB">
        <w:rPr>
          <w:sz w:val="22"/>
          <w:szCs w:val="22"/>
          <w:lang w:val="en-US"/>
        </w:rPr>
        <w:t>. Cham: Springer International Publishing.</w:t>
      </w:r>
    </w:p>
    <w:p w14:paraId="75B1D1C8"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Universidad (2011). </w:t>
      </w:r>
      <w:r w:rsidRPr="00323EDB">
        <w:rPr>
          <w:i/>
          <w:sz w:val="22"/>
          <w:szCs w:val="22"/>
          <w:lang w:val="es-CL"/>
        </w:rPr>
        <w:t>Guía de carreras 2011</w:t>
      </w:r>
      <w:r w:rsidRPr="00323EDB">
        <w:rPr>
          <w:sz w:val="22"/>
          <w:szCs w:val="22"/>
          <w:lang w:val="es-CL"/>
        </w:rPr>
        <w:t xml:space="preserve">. </w:t>
      </w:r>
    </w:p>
    <w:p w14:paraId="6E1D9388" w14:textId="6019B71F" w:rsidR="57A38557" w:rsidRPr="00411407" w:rsidRDefault="007019CB" w:rsidP="008B57A3">
      <w:pPr>
        <w:pStyle w:val="paragraph"/>
        <w:spacing w:before="0" w:beforeAutospacing="0" w:after="120" w:afterAutospacing="0"/>
        <w:ind w:left="709" w:hanging="709"/>
        <w:textAlignment w:val="baseline"/>
        <w:rPr>
          <w:sz w:val="22"/>
          <w:szCs w:val="22"/>
        </w:rPr>
      </w:pPr>
      <w:r w:rsidRPr="00323EDB">
        <w:rPr>
          <w:sz w:val="22"/>
          <w:szCs w:val="22"/>
          <w:lang w:val="es-CL"/>
        </w:rPr>
        <w:t xml:space="preserve">Yin, R.K. (2018). </w:t>
      </w:r>
      <w:r w:rsidRPr="00323EDB">
        <w:rPr>
          <w:i/>
          <w:sz w:val="22"/>
          <w:szCs w:val="22"/>
          <w:lang w:val="en-US"/>
        </w:rPr>
        <w:t>Case study research and applications. Design and methods</w:t>
      </w:r>
      <w:r w:rsidRPr="00323EDB">
        <w:rPr>
          <w:sz w:val="22"/>
          <w:szCs w:val="22"/>
          <w:lang w:val="en-US"/>
        </w:rPr>
        <w:t xml:space="preserve"> (6</w:t>
      </w:r>
      <w:r w:rsidRPr="00323EDB">
        <w:rPr>
          <w:sz w:val="22"/>
          <w:szCs w:val="22"/>
          <w:vertAlign w:val="superscript"/>
          <w:lang w:val="en-US"/>
        </w:rPr>
        <w:t>e</w:t>
      </w:r>
      <w:r w:rsidRPr="00323EDB">
        <w:rPr>
          <w:sz w:val="22"/>
          <w:szCs w:val="22"/>
          <w:lang w:val="en-US"/>
        </w:rPr>
        <w:t xml:space="preserve"> ed.). Thousand Oaks: SAGE Publications INC.</w:t>
      </w:r>
    </w:p>
    <w:sectPr w:rsidR="57A38557" w:rsidRPr="00411407" w:rsidSect="00575ECF">
      <w:headerReference w:type="first" r:id="rId36"/>
      <w:footerReference w:type="first" r:id="rId37"/>
      <w:pgSz w:w="9179" w:h="12977" w:code="145"/>
      <w:pgMar w:top="1418" w:right="1418" w:bottom="1418" w:left="851" w:header="0" w:footer="851"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D624" w14:textId="77777777" w:rsidR="007A1F90" w:rsidRDefault="007A1F90" w:rsidP="000E2BF2">
      <w:r>
        <w:separator/>
      </w:r>
    </w:p>
  </w:endnote>
  <w:endnote w:type="continuationSeparator" w:id="0">
    <w:p w14:paraId="3316F025" w14:textId="77777777" w:rsidR="007A1F90" w:rsidRDefault="007A1F90" w:rsidP="000E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4042" w14:textId="3F151E96" w:rsidR="007F621E" w:rsidRPr="00890FF7" w:rsidRDefault="007F621E" w:rsidP="007F621E">
    <w:pPr>
      <w:pStyle w:val="Piedepgina"/>
      <w:rPr>
        <w:rFonts w:ascii="Times New Roman" w:hAnsi="Times New Roman" w:cs="Times New Roman"/>
        <w:sz w:val="20"/>
        <w:szCs w:val="20"/>
        <w:lang w:val="es-CL"/>
      </w:rPr>
    </w:pPr>
    <w:r w:rsidRPr="00890FF7">
      <w:rPr>
        <w:rFonts w:ascii="Times New Roman" w:hAnsi="Times New Roman" w:cs="Times New Roman"/>
        <w:sz w:val="20"/>
        <w:szCs w:val="20"/>
        <w:lang w:val="es-CL"/>
      </w:rPr>
      <w:t>__________________</w:t>
    </w:r>
  </w:p>
  <w:p w14:paraId="19960DCB" w14:textId="553BC2FB" w:rsidR="007F621E" w:rsidRPr="00D97485" w:rsidRDefault="00CF2889" w:rsidP="007F621E">
    <w:pPr>
      <w:pStyle w:val="Piedepgina"/>
      <w:rPr>
        <w:rFonts w:ascii="Times New Roman" w:hAnsi="Times New Roman" w:cs="Times New Roman"/>
        <w:sz w:val="20"/>
        <w:szCs w:val="20"/>
        <w:lang w:val="fr-FR"/>
      </w:rPr>
    </w:pPr>
    <w:r w:rsidRPr="00CF2889">
      <w:rPr>
        <w:rFonts w:ascii="Times New Roman" w:hAnsi="Times New Roman" w:cs="Times New Roman"/>
        <w:sz w:val="20"/>
        <w:szCs w:val="20"/>
        <w:lang w:val="es-CL"/>
      </w:rPr>
      <w:t>Autor correspondiente</w:t>
    </w:r>
    <w:r w:rsidR="007F621E" w:rsidRPr="00CF2889">
      <w:rPr>
        <w:rFonts w:ascii="Times New Roman" w:hAnsi="Times New Roman" w:cs="Times New Roman"/>
        <w:sz w:val="20"/>
        <w:szCs w:val="20"/>
        <w:lang w:val="es-CL"/>
      </w:rPr>
      <w:t xml:space="preserve">: </w:t>
    </w:r>
    <w:r w:rsidRPr="00CF2889">
      <w:rPr>
        <w:rFonts w:ascii="Times New Roman" w:hAnsi="Times New Roman" w:cs="Times New Roman"/>
        <w:sz w:val="20"/>
        <w:szCs w:val="20"/>
        <w:lang w:val="es-CL"/>
      </w:rPr>
      <w:t>Paula Verdugo Hernández</w:t>
    </w:r>
    <w:r w:rsidR="007F621E" w:rsidRPr="00CF2889">
      <w:rPr>
        <w:rFonts w:ascii="Times New Roman" w:hAnsi="Times New Roman" w:cs="Times New Roman"/>
        <w:sz w:val="20"/>
        <w:szCs w:val="20"/>
        <w:lang w:val="es-CL"/>
      </w:rPr>
      <w:t xml:space="preserve">. </w:t>
    </w:r>
    <w:proofErr w:type="gramStart"/>
    <w:r w:rsidR="007F621E" w:rsidRPr="00D97485">
      <w:rPr>
        <w:rFonts w:ascii="Times New Roman" w:hAnsi="Times New Roman" w:cs="Times New Roman"/>
        <w:sz w:val="20"/>
        <w:szCs w:val="20"/>
        <w:lang w:val="fr-FR"/>
      </w:rPr>
      <w:t>Email:</w:t>
    </w:r>
    <w:proofErr w:type="gramEnd"/>
    <w:r w:rsidR="007F621E" w:rsidRPr="00D97485">
      <w:rPr>
        <w:rFonts w:ascii="Times New Roman" w:hAnsi="Times New Roman" w:cs="Times New Roman"/>
        <w:sz w:val="20"/>
        <w:szCs w:val="20"/>
        <w:lang w:val="fr-FR"/>
      </w:rPr>
      <w:t xml:space="preserve"> </w:t>
    </w:r>
    <w:hyperlink r:id="rId1" w:history="1">
      <w:r w:rsidRPr="00D97485">
        <w:rPr>
          <w:rStyle w:val="Hipervnculo"/>
          <w:rFonts w:ascii="Times New Roman" w:hAnsi="Times New Roman" w:cs="Times New Roman"/>
          <w:sz w:val="20"/>
          <w:szCs w:val="20"/>
          <w:lang w:val="fr-FR"/>
        </w:rPr>
        <w:t>paulasinttia@gmail.com</w:t>
      </w:r>
    </w:hyperlink>
    <w:r w:rsidR="00C72106" w:rsidRPr="00D97485">
      <w:rPr>
        <w:rFonts w:ascii="Times New Roman" w:hAnsi="Times New Roman" w:cs="Times New Roman"/>
        <w:sz w:val="20"/>
        <w:szCs w:val="20"/>
        <w:lang w:val="fr-FR"/>
      </w:rPr>
      <w:t xml:space="preserve"> </w:t>
    </w:r>
  </w:p>
  <w:p w14:paraId="511C0B01" w14:textId="77777777" w:rsidR="00C72106" w:rsidRPr="00D97485" w:rsidRDefault="00C72106" w:rsidP="00C72106">
    <w:pPr>
      <w:pStyle w:val="local"/>
      <w:widowControl w:val="0"/>
      <w:autoSpaceDE w:val="0"/>
      <w:autoSpaceDN w:val="0"/>
      <w:adjustRightInd w:val="0"/>
      <w:spacing w:after="0"/>
      <w:jc w:val="both"/>
      <w:rPr>
        <w:rFonts w:ascii="Times New Roman" w:hAnsi="Times New Roman"/>
        <w:sz w:val="20"/>
        <w:lang w:val="fr-FR"/>
      </w:rPr>
    </w:pPr>
  </w:p>
  <w:p w14:paraId="3BDF1827" w14:textId="77777777" w:rsidR="00C72106" w:rsidRPr="00D97485" w:rsidRDefault="00C72106" w:rsidP="00C72106">
    <w:pPr>
      <w:pStyle w:val="local"/>
      <w:widowControl w:val="0"/>
      <w:autoSpaceDE w:val="0"/>
      <w:autoSpaceDN w:val="0"/>
      <w:adjustRightInd w:val="0"/>
      <w:spacing w:after="0"/>
      <w:jc w:val="both"/>
      <w:rPr>
        <w:rFonts w:ascii="Times New Roman" w:hAnsi="Times New Roman"/>
        <w:sz w:val="20"/>
        <w:lang w:val="fr-FR"/>
      </w:rPr>
    </w:pPr>
  </w:p>
  <w:p w14:paraId="1D4AF9A1" w14:textId="78AE747E" w:rsidR="007F621E" w:rsidRPr="00C72106" w:rsidRDefault="00C72106" w:rsidP="00C72106">
    <w:pPr>
      <w:pStyle w:val="Piedepgina"/>
      <w:jc w:val="center"/>
      <w:rPr>
        <w:rFonts w:ascii="Times New Roman" w:hAnsi="Times New Roman" w:cs="Times New Roman"/>
      </w:rPr>
    </w:pPr>
    <w:r w:rsidRPr="00D97485">
      <w:rPr>
        <w:rFonts w:ascii="Times New Roman" w:eastAsiaTheme="minorHAnsi" w:hAnsi="Times New Roman" w:cs="Times New Roman"/>
        <w:kern w:val="0"/>
        <w:sz w:val="16"/>
        <w:szCs w:val="16"/>
        <w:lang w:val="fr-FR"/>
      </w:rPr>
      <w:t xml:space="preserve">Acta Sci. </w:t>
    </w:r>
    <w:r w:rsidRPr="00C72106">
      <w:rPr>
        <w:rFonts w:ascii="Times New Roman" w:eastAsiaTheme="minorHAnsi" w:hAnsi="Times New Roman" w:cs="Times New Roman"/>
        <w:kern w:val="0"/>
        <w:sz w:val="16"/>
        <w:szCs w:val="16"/>
      </w:rPr>
      <w:t>(Canoas</w:t>
    </w:r>
    <w:r w:rsidRPr="00C72106">
      <w:rPr>
        <w:rFonts w:ascii="Times New Roman" w:eastAsiaTheme="minorHAnsi" w:hAnsi="Times New Roman" w:cs="Times New Roman"/>
        <w:i/>
        <w:iCs/>
        <w:kern w:val="0"/>
        <w:sz w:val="16"/>
        <w:szCs w:val="16"/>
      </w:rPr>
      <w:t>), 2</w:t>
    </w:r>
    <w:r w:rsidRPr="00C72106">
      <w:rPr>
        <w:rFonts w:ascii="Times New Roman" w:eastAsiaTheme="minorHAnsi" w:hAnsi="Times New Roman" w:cs="Times New Roman"/>
        <w:i/>
        <w:iCs/>
        <w:sz w:val="16"/>
        <w:szCs w:val="16"/>
      </w:rPr>
      <w:t>3</w:t>
    </w:r>
    <w:r w:rsidRPr="00C72106">
      <w:rPr>
        <w:rFonts w:ascii="Times New Roman" w:eastAsiaTheme="minorHAnsi" w:hAnsi="Times New Roman" w:cs="Times New Roman"/>
        <w:kern w:val="0"/>
        <w:sz w:val="16"/>
        <w:szCs w:val="16"/>
      </w:rPr>
      <w:t>(</w:t>
    </w:r>
    <w:r w:rsidRPr="00C72106">
      <w:rPr>
        <w:rFonts w:ascii="Times New Roman" w:eastAsiaTheme="minorHAnsi" w:hAnsi="Times New Roman" w:cs="Times New Roman"/>
        <w:sz w:val="16"/>
        <w:szCs w:val="16"/>
      </w:rPr>
      <w:t>1</w:t>
    </w:r>
    <w:r w:rsidRPr="00C72106">
      <w:rPr>
        <w:rFonts w:ascii="Times New Roman" w:eastAsiaTheme="minorHAnsi" w:hAnsi="Times New Roman" w:cs="Times New Roman"/>
        <w:kern w:val="0"/>
        <w:sz w:val="16"/>
        <w:szCs w:val="16"/>
      </w:rPr>
      <w:t xml:space="preserve">), </w:t>
    </w:r>
    <w:r w:rsidRPr="00C72106">
      <w:rPr>
        <w:rFonts w:ascii="Times New Roman" w:eastAsiaTheme="minorHAnsi" w:hAnsi="Times New Roman" w:cs="Times New Roman"/>
        <w:sz w:val="16"/>
        <w:szCs w:val="16"/>
      </w:rPr>
      <w:t>1</w:t>
    </w:r>
    <w:r w:rsidRPr="00C72106">
      <w:rPr>
        <w:rFonts w:ascii="Times New Roman" w:eastAsiaTheme="minorHAnsi" w:hAnsi="Times New Roman" w:cs="Times New Roman"/>
        <w:kern w:val="0"/>
        <w:sz w:val="16"/>
        <w:szCs w:val="16"/>
      </w:rPr>
      <w:t>-</w:t>
    </w:r>
    <w:r w:rsidRPr="00C72106">
      <w:rPr>
        <w:rFonts w:ascii="Times New Roman" w:eastAsiaTheme="minorHAnsi" w:hAnsi="Times New Roman" w:cs="Times New Roman"/>
        <w:sz w:val="16"/>
        <w:szCs w:val="16"/>
      </w:rPr>
      <w:t>17</w:t>
    </w:r>
    <w:r w:rsidRPr="00C72106">
      <w:rPr>
        <w:rFonts w:ascii="Times New Roman" w:eastAsiaTheme="minorHAnsi" w:hAnsi="Times New Roman" w:cs="Times New Roman"/>
        <w:kern w:val="0"/>
        <w:sz w:val="16"/>
        <w:szCs w:val="16"/>
      </w:rPr>
      <w:t xml:space="preserve">, </w:t>
    </w:r>
    <w:r w:rsidRPr="00C72106">
      <w:rPr>
        <w:rFonts w:ascii="Times New Roman" w:eastAsiaTheme="minorHAnsi" w:hAnsi="Times New Roman" w:cs="Times New Roman"/>
        <w:sz w:val="16"/>
        <w:szCs w:val="16"/>
      </w:rPr>
      <w:t>Jan</w:t>
    </w:r>
    <w:r w:rsidRPr="00C72106">
      <w:rPr>
        <w:rFonts w:ascii="Times New Roman" w:eastAsiaTheme="minorHAnsi" w:hAnsi="Times New Roman" w:cs="Times New Roman"/>
        <w:kern w:val="0"/>
        <w:sz w:val="16"/>
        <w:szCs w:val="16"/>
      </w:rPr>
      <w:t>./</w:t>
    </w:r>
    <w:proofErr w:type="spellStart"/>
    <w:r w:rsidRPr="00C72106">
      <w:rPr>
        <w:rFonts w:ascii="Times New Roman" w:eastAsiaTheme="minorHAnsi" w:hAnsi="Times New Roman" w:cs="Times New Roman"/>
        <w:sz w:val="16"/>
        <w:szCs w:val="16"/>
      </w:rPr>
      <w:t>Fev</w:t>
    </w:r>
    <w:proofErr w:type="spellEnd"/>
    <w:r w:rsidRPr="00C72106">
      <w:rPr>
        <w:rFonts w:ascii="Times New Roman" w:eastAsiaTheme="minorHAnsi" w:hAnsi="Times New Roman" w:cs="Times New Roman"/>
        <w:kern w:val="0"/>
        <w:sz w:val="16"/>
        <w:szCs w:val="16"/>
      </w:rPr>
      <w:t>. 202</w:t>
    </w:r>
    <w:r w:rsidRPr="00C72106">
      <w:rPr>
        <w:rFonts w:ascii="Times New Roman" w:eastAsiaTheme="minorHAnsi" w:hAnsi="Times New Roman" w:cs="Times New Roman"/>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EA80" w14:textId="77777777" w:rsidR="007A1F90" w:rsidRDefault="007A1F90" w:rsidP="000E2BF2">
      <w:r>
        <w:separator/>
      </w:r>
    </w:p>
  </w:footnote>
  <w:footnote w:type="continuationSeparator" w:id="0">
    <w:p w14:paraId="4C1E6FA8" w14:textId="77777777" w:rsidR="007A1F90" w:rsidRDefault="007A1F90" w:rsidP="000E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A57F" w14:textId="77777777" w:rsidR="00575ECF" w:rsidRPr="00575ECF" w:rsidRDefault="00575ECF" w:rsidP="00575ECF">
    <w:pPr>
      <w:tabs>
        <w:tab w:val="left" w:pos="1470"/>
        <w:tab w:val="right" w:pos="8498"/>
      </w:tabs>
      <w:spacing w:after="60"/>
      <w:jc w:val="right"/>
      <w:rPr>
        <w:rFonts w:ascii="Times New Roman" w:hAnsi="Times New Roman" w:cs="Times New Roman"/>
        <w:b/>
        <w:bCs/>
        <w:sz w:val="28"/>
        <w:szCs w:val="12"/>
      </w:rPr>
    </w:pPr>
    <w:bookmarkStart w:id="4" w:name="_Hlk8025784"/>
    <w:r w:rsidRPr="00575ECF">
      <w:rPr>
        <w:rFonts w:ascii="Times New Roman" w:hAnsi="Times New Roman" w:cs="Times New Roman"/>
        <w:noProof/>
        <w:sz w:val="22"/>
        <w:szCs w:val="18"/>
        <w:lang w:val="es-CL" w:eastAsia="es-CL" w:bidi="ar-SA"/>
      </w:rPr>
      <w:drawing>
        <wp:anchor distT="0" distB="0" distL="114300" distR="114300" simplePos="0" relativeHeight="251662336" behindDoc="0" locked="0" layoutInCell="1" allowOverlap="1" wp14:anchorId="6EBDA0D3" wp14:editId="7BCFA0F4">
          <wp:simplePos x="0" y="0"/>
          <wp:positionH relativeFrom="column">
            <wp:align>left</wp:align>
          </wp:positionH>
          <wp:positionV relativeFrom="page">
            <wp:posOffset>71755</wp:posOffset>
          </wp:positionV>
          <wp:extent cx="532800" cy="374400"/>
          <wp:effectExtent l="0" t="0" r="635" b="6985"/>
          <wp:wrapNone/>
          <wp:docPr id="12" name="Picture 1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800" cy="3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5ECF">
      <w:rPr>
        <w:rFonts w:ascii="Times New Roman" w:hAnsi="Times New Roman" w:cs="Times New Roman"/>
        <w:noProof/>
        <w:sz w:val="22"/>
        <w:szCs w:val="18"/>
        <w:lang w:val="es-CL" w:eastAsia="es-CL" w:bidi="ar-SA"/>
      </w:rPr>
      <w:drawing>
        <wp:anchor distT="0" distB="0" distL="114300" distR="114300" simplePos="0" relativeHeight="251656192" behindDoc="0" locked="0" layoutInCell="1" allowOverlap="1" wp14:anchorId="675EBCD4" wp14:editId="387F0B86">
          <wp:simplePos x="0" y="0"/>
          <wp:positionH relativeFrom="column">
            <wp:align>right</wp:align>
          </wp:positionH>
          <wp:positionV relativeFrom="page">
            <wp:posOffset>71755</wp:posOffset>
          </wp:positionV>
          <wp:extent cx="763270" cy="144145"/>
          <wp:effectExtent l="0" t="0" r="0" b="0"/>
          <wp:wrapNone/>
          <wp:docPr id="31" name="Picture 4">
            <a:hlinkClick xmlns:a="http://schemas.openxmlformats.org/drawingml/2006/main" r:id="rId3" tooltip="This work is licensed under a Creative Commons Attribution 4.0 International License (http://creativecommons.org/licenses/by/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 tooltip="This work is licensed under a Creative Commons Attribution 4.0 International License (http://creativecommons.org/licenses/by/4.0/)."/>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270" cy="14414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5" w:name="_Hlk7869852"/>
  <w:p w14:paraId="6132CF61" w14:textId="77777777" w:rsidR="00575ECF" w:rsidRPr="00575ECF" w:rsidRDefault="00575ECF" w:rsidP="00575ECF">
    <w:pPr>
      <w:jc w:val="right"/>
      <w:rPr>
        <w:rFonts w:ascii="Times New Roman" w:hAnsi="Times New Roman" w:cs="Times New Roman"/>
        <w:b/>
        <w:bCs/>
        <w:sz w:val="16"/>
        <w:szCs w:val="16"/>
      </w:rPr>
    </w:pPr>
    <w:r w:rsidRPr="00575ECF">
      <w:rPr>
        <w:rFonts w:ascii="Times New Roman" w:hAnsi="Times New Roman" w:cs="Times New Roman"/>
        <w:b/>
        <w:bCs/>
        <w:sz w:val="16"/>
        <w:szCs w:val="16"/>
      </w:rPr>
      <w:fldChar w:fldCharType="begin"/>
    </w:r>
    <w:r w:rsidRPr="00575ECF">
      <w:rPr>
        <w:rFonts w:ascii="Times New Roman" w:hAnsi="Times New Roman" w:cs="Times New Roman"/>
        <w:b/>
        <w:bCs/>
        <w:sz w:val="16"/>
        <w:szCs w:val="16"/>
      </w:rPr>
      <w:instrText xml:space="preserve"> HYPERLINK "http://www.periodicos.ulbra.br/index.php/acta/" </w:instrText>
    </w:r>
    <w:r w:rsidRPr="00575ECF">
      <w:rPr>
        <w:rFonts w:ascii="Times New Roman" w:hAnsi="Times New Roman" w:cs="Times New Roman"/>
        <w:b/>
        <w:bCs/>
        <w:sz w:val="16"/>
        <w:szCs w:val="16"/>
      </w:rPr>
      <w:fldChar w:fldCharType="separate"/>
    </w:r>
    <w:r w:rsidRPr="00575ECF">
      <w:rPr>
        <w:rStyle w:val="Hipervnculo"/>
        <w:rFonts w:ascii="Times New Roman" w:hAnsi="Times New Roman" w:cs="Times New Roman"/>
        <w:b/>
        <w:bCs/>
        <w:color w:val="auto"/>
        <w:sz w:val="16"/>
        <w:szCs w:val="16"/>
        <w:u w:val="none"/>
      </w:rPr>
      <w:t>ISSN</w:t>
    </w:r>
    <w:r w:rsidRPr="00575ECF">
      <w:rPr>
        <w:rStyle w:val="Hipervnculo"/>
        <w:rFonts w:ascii="Times New Roman" w:hAnsi="Times New Roman" w:cs="Times New Roman"/>
        <w:color w:val="auto"/>
        <w:sz w:val="16"/>
        <w:szCs w:val="16"/>
        <w:u w:val="none"/>
      </w:rPr>
      <w:t>: 2178-7727</w:t>
    </w:r>
    <w:r w:rsidRPr="00575ECF">
      <w:rPr>
        <w:rFonts w:ascii="Times New Roman" w:hAnsi="Times New Roman" w:cs="Times New Roman"/>
        <w:b/>
        <w:bCs/>
        <w:sz w:val="16"/>
        <w:szCs w:val="16"/>
      </w:rPr>
      <w:fldChar w:fldCharType="end"/>
    </w:r>
  </w:p>
  <w:bookmarkEnd w:id="4"/>
  <w:p w14:paraId="754A98B2" w14:textId="09027751" w:rsidR="00575ECF" w:rsidRPr="00575ECF" w:rsidRDefault="00575ECF" w:rsidP="00575ECF">
    <w:pPr>
      <w:jc w:val="right"/>
      <w:rPr>
        <w:rStyle w:val="Hipervnculo"/>
        <w:rFonts w:ascii="Times New Roman" w:hAnsi="Times New Roman" w:cs="Times New Roman"/>
        <w:color w:val="auto"/>
        <w:sz w:val="16"/>
        <w:szCs w:val="16"/>
        <w:u w:val="none"/>
      </w:rPr>
    </w:pPr>
    <w:r w:rsidRPr="00575ECF">
      <w:rPr>
        <w:rFonts w:ascii="Times New Roman" w:hAnsi="Times New Roman" w:cs="Times New Roman"/>
        <w:b/>
        <w:bCs/>
        <w:sz w:val="16"/>
        <w:szCs w:val="16"/>
        <w:lang w:val="pt-PT" w:eastAsia="pt-PT"/>
      </w:rPr>
      <w:fldChar w:fldCharType="begin"/>
    </w:r>
    <w:r>
      <w:rPr>
        <w:rFonts w:ascii="Times New Roman" w:hAnsi="Times New Roman" w:cs="Times New Roman"/>
        <w:b/>
        <w:bCs/>
        <w:sz w:val="16"/>
        <w:szCs w:val="16"/>
        <w:lang w:val="pt-PT" w:eastAsia="pt-PT"/>
      </w:rPr>
      <w:instrText>HYPERLINK "https://doi.org/10.17648/acta.scientiae.XXXX"</w:instrText>
    </w:r>
    <w:r w:rsidRPr="00575ECF">
      <w:rPr>
        <w:rFonts w:ascii="Times New Roman" w:hAnsi="Times New Roman" w:cs="Times New Roman"/>
        <w:b/>
        <w:bCs/>
        <w:sz w:val="16"/>
        <w:szCs w:val="16"/>
        <w:lang w:val="pt-PT" w:eastAsia="pt-PT"/>
      </w:rPr>
      <w:fldChar w:fldCharType="separate"/>
    </w:r>
    <w:r w:rsidRPr="00575ECF">
      <w:rPr>
        <w:rStyle w:val="Hipervnculo"/>
        <w:rFonts w:ascii="Times New Roman" w:hAnsi="Times New Roman" w:cs="Times New Roman"/>
        <w:b/>
        <w:bCs/>
        <w:color w:val="auto"/>
        <w:sz w:val="16"/>
        <w:szCs w:val="16"/>
        <w:u w:val="none"/>
      </w:rPr>
      <w:t>DOI</w:t>
    </w:r>
    <w:r w:rsidRPr="00575ECF">
      <w:rPr>
        <w:rStyle w:val="Hipervnculo"/>
        <w:rFonts w:ascii="Times New Roman" w:hAnsi="Times New Roman" w:cs="Times New Roman"/>
        <w:color w:val="auto"/>
        <w:sz w:val="16"/>
        <w:szCs w:val="16"/>
        <w:u w:val="none"/>
      </w:rPr>
      <w:t>: 10.17648/</w:t>
    </w:r>
    <w:proofErr w:type="spellStart"/>
    <w:r w:rsidRPr="00575ECF">
      <w:rPr>
        <w:rStyle w:val="Hipervnculo"/>
        <w:rFonts w:ascii="Times New Roman" w:hAnsi="Times New Roman" w:cs="Times New Roman"/>
        <w:color w:val="auto"/>
        <w:sz w:val="16"/>
        <w:szCs w:val="16"/>
        <w:u w:val="none"/>
      </w:rPr>
      <w:t>acta.scientiae.</w:t>
    </w:r>
    <w:bookmarkEnd w:id="5"/>
    <w:r>
      <w:rPr>
        <w:rStyle w:val="Hipervnculo"/>
        <w:rFonts w:ascii="Times New Roman" w:hAnsi="Times New Roman" w:cs="Times New Roman"/>
        <w:color w:val="auto"/>
        <w:sz w:val="16"/>
        <w:szCs w:val="16"/>
        <w:u w:val="none"/>
      </w:rPr>
      <w:t>XXXX</w:t>
    </w:r>
    <w:proofErr w:type="spellEnd"/>
  </w:p>
  <w:p w14:paraId="49D0EA69" w14:textId="77777777" w:rsidR="00575ECF" w:rsidRPr="00575ECF" w:rsidRDefault="00575ECF" w:rsidP="00575ECF">
    <w:pPr>
      <w:pStyle w:val="Encabezado"/>
      <w:rPr>
        <w:rFonts w:ascii="Times New Roman" w:hAnsi="Times New Roman" w:cs="Times New Roman"/>
        <w:sz w:val="16"/>
        <w:szCs w:val="16"/>
      </w:rPr>
    </w:pPr>
    <w:r w:rsidRPr="00575ECF">
      <w:rPr>
        <w:rFonts w:ascii="Times New Roman" w:hAnsi="Times New Roman" w:cs="Times New Roman"/>
        <w:b/>
        <w:bCs/>
        <w:sz w:val="16"/>
        <w:szCs w:val="16"/>
      </w:rPr>
      <w:fldChar w:fldCharType="end"/>
    </w:r>
  </w:p>
  <w:p w14:paraId="3B5F7F47" w14:textId="77777777" w:rsidR="007D7CC8" w:rsidRPr="00575ECF" w:rsidRDefault="007D7CC8">
    <w:pPr>
      <w:pStyle w:val="Encabezado"/>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9A8167E"/>
    <w:name w:val="WWNum3"/>
    <w:lvl w:ilvl="0">
      <w:start w:val="1"/>
      <w:numFmt w:val="decimal"/>
      <w:lvlText w:val="%1"/>
      <w:lvlJc w:val="left"/>
      <w:pPr>
        <w:tabs>
          <w:tab w:val="num" w:pos="0"/>
        </w:tabs>
        <w:ind w:left="720" w:hanging="360"/>
      </w:pPr>
      <w:rPr>
        <w:rFonts w:cs="Times New Roman"/>
        <w:b w:val="0"/>
        <w:sz w:val="20"/>
        <w:szCs w:val="20"/>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 w15:restartNumberingAfterBreak="0">
    <w:nsid w:val="00000003"/>
    <w:multiLevelType w:val="multilevel"/>
    <w:tmpl w:val="37F2B8BE"/>
    <w:name w:val="WWNum7"/>
    <w:lvl w:ilvl="0">
      <w:start w:val="1"/>
      <w:numFmt w:val="lowerLetter"/>
      <w:lvlText w:val="%1)"/>
      <w:lvlJc w:val="left"/>
      <w:pPr>
        <w:tabs>
          <w:tab w:val="num" w:pos="720"/>
        </w:tabs>
        <w:ind w:left="720" w:hanging="360"/>
      </w:pPr>
      <w:rPr>
        <w:lang w:val="es-ES"/>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2" w15:restartNumberingAfterBreak="0">
    <w:nsid w:val="00000004"/>
    <w:multiLevelType w:val="multilevel"/>
    <w:tmpl w:val="00000004"/>
    <w:name w:val="WWNum9"/>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 w15:restartNumberingAfterBreak="0">
    <w:nsid w:val="00000005"/>
    <w:multiLevelType w:val="multilevel"/>
    <w:tmpl w:val="00000005"/>
    <w:name w:val="WWNum10"/>
    <w:lvl w:ilvl="0">
      <w:start w:val="1"/>
      <w:numFmt w:val="upperLetter"/>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 w15:restartNumberingAfterBreak="0">
    <w:nsid w:val="265C57AC"/>
    <w:multiLevelType w:val="hybridMultilevel"/>
    <w:tmpl w:val="3754FC14"/>
    <w:lvl w:ilvl="0" w:tplc="340A000F">
      <w:start w:val="1"/>
      <w:numFmt w:val="decimal"/>
      <w:lvlText w:val="%1."/>
      <w:lvlJc w:val="left"/>
      <w:pPr>
        <w:ind w:left="1033" w:hanging="360"/>
      </w:pPr>
    </w:lvl>
    <w:lvl w:ilvl="1" w:tplc="340A0019" w:tentative="1">
      <w:start w:val="1"/>
      <w:numFmt w:val="lowerLetter"/>
      <w:lvlText w:val="%2."/>
      <w:lvlJc w:val="left"/>
      <w:pPr>
        <w:ind w:left="1753" w:hanging="360"/>
      </w:pPr>
    </w:lvl>
    <w:lvl w:ilvl="2" w:tplc="340A001B" w:tentative="1">
      <w:start w:val="1"/>
      <w:numFmt w:val="lowerRoman"/>
      <w:lvlText w:val="%3."/>
      <w:lvlJc w:val="right"/>
      <w:pPr>
        <w:ind w:left="2473" w:hanging="180"/>
      </w:pPr>
    </w:lvl>
    <w:lvl w:ilvl="3" w:tplc="340A000F" w:tentative="1">
      <w:start w:val="1"/>
      <w:numFmt w:val="decimal"/>
      <w:lvlText w:val="%4."/>
      <w:lvlJc w:val="left"/>
      <w:pPr>
        <w:ind w:left="3193" w:hanging="360"/>
      </w:pPr>
    </w:lvl>
    <w:lvl w:ilvl="4" w:tplc="340A0019" w:tentative="1">
      <w:start w:val="1"/>
      <w:numFmt w:val="lowerLetter"/>
      <w:lvlText w:val="%5."/>
      <w:lvlJc w:val="left"/>
      <w:pPr>
        <w:ind w:left="3913" w:hanging="360"/>
      </w:pPr>
    </w:lvl>
    <w:lvl w:ilvl="5" w:tplc="340A001B" w:tentative="1">
      <w:start w:val="1"/>
      <w:numFmt w:val="lowerRoman"/>
      <w:lvlText w:val="%6."/>
      <w:lvlJc w:val="right"/>
      <w:pPr>
        <w:ind w:left="4633" w:hanging="180"/>
      </w:pPr>
    </w:lvl>
    <w:lvl w:ilvl="6" w:tplc="340A000F" w:tentative="1">
      <w:start w:val="1"/>
      <w:numFmt w:val="decimal"/>
      <w:lvlText w:val="%7."/>
      <w:lvlJc w:val="left"/>
      <w:pPr>
        <w:ind w:left="5353" w:hanging="360"/>
      </w:pPr>
    </w:lvl>
    <w:lvl w:ilvl="7" w:tplc="340A0019" w:tentative="1">
      <w:start w:val="1"/>
      <w:numFmt w:val="lowerLetter"/>
      <w:lvlText w:val="%8."/>
      <w:lvlJc w:val="left"/>
      <w:pPr>
        <w:ind w:left="6073" w:hanging="360"/>
      </w:pPr>
    </w:lvl>
    <w:lvl w:ilvl="8" w:tplc="340A001B" w:tentative="1">
      <w:start w:val="1"/>
      <w:numFmt w:val="lowerRoman"/>
      <w:lvlText w:val="%9."/>
      <w:lvlJc w:val="right"/>
      <w:pPr>
        <w:ind w:left="6793" w:hanging="180"/>
      </w:pPr>
    </w:lvl>
  </w:abstractNum>
  <w:abstractNum w:abstractNumId="5" w15:restartNumberingAfterBreak="0">
    <w:nsid w:val="30490F55"/>
    <w:multiLevelType w:val="multilevel"/>
    <w:tmpl w:val="5BCAB5D8"/>
    <w:lvl w:ilvl="0">
      <w:start w:val="1"/>
      <w:numFmt w:val="decimal"/>
      <w:lvlText w:val="%1)"/>
      <w:lvlJc w:val="left"/>
      <w:pPr>
        <w:tabs>
          <w:tab w:val="num" w:pos="360"/>
        </w:tabs>
        <w:ind w:left="360" w:hanging="360"/>
      </w:pPr>
      <w:rPr>
        <w:lang w:val="es-ES"/>
      </w:rPr>
    </w:lvl>
    <w:lvl w:ilvl="1">
      <w:start w:val="1"/>
      <w:numFmt w:val="decimal"/>
      <w:lvlText w:val="%1.%2"/>
      <w:lvlJc w:val="lef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3.%4"/>
      <w:lvlJc w:val="left"/>
      <w:pPr>
        <w:tabs>
          <w:tab w:val="num" w:pos="2520"/>
        </w:tabs>
        <w:ind w:left="2520" w:hanging="360"/>
      </w:pPr>
    </w:lvl>
    <w:lvl w:ilvl="4">
      <w:start w:val="1"/>
      <w:numFmt w:val="decimal"/>
      <w:lvlText w:val="%4.%5"/>
      <w:lvlJc w:val="left"/>
      <w:pPr>
        <w:tabs>
          <w:tab w:val="num" w:pos="3240"/>
        </w:tabs>
        <w:ind w:left="3240" w:hanging="360"/>
      </w:pPr>
    </w:lvl>
    <w:lvl w:ilvl="5">
      <w:start w:val="1"/>
      <w:numFmt w:val="decimal"/>
      <w:lvlText w:val="%5.%6"/>
      <w:lvlJc w:val="left"/>
      <w:pPr>
        <w:tabs>
          <w:tab w:val="num" w:pos="3960"/>
        </w:tabs>
        <w:ind w:left="3960" w:hanging="360"/>
      </w:pPr>
    </w:lvl>
    <w:lvl w:ilvl="6">
      <w:start w:val="1"/>
      <w:numFmt w:val="decimal"/>
      <w:lvlText w:val="%6.%7"/>
      <w:lvlJc w:val="left"/>
      <w:pPr>
        <w:tabs>
          <w:tab w:val="num" w:pos="4680"/>
        </w:tabs>
        <w:ind w:left="4680" w:hanging="360"/>
      </w:pPr>
    </w:lvl>
    <w:lvl w:ilvl="7">
      <w:start w:val="1"/>
      <w:numFmt w:val="decimal"/>
      <w:lvlText w:val="%7.%8"/>
      <w:lvlJc w:val="left"/>
      <w:pPr>
        <w:tabs>
          <w:tab w:val="num" w:pos="5400"/>
        </w:tabs>
        <w:ind w:left="5400" w:hanging="360"/>
      </w:pPr>
    </w:lvl>
    <w:lvl w:ilvl="8">
      <w:start w:val="1"/>
      <w:numFmt w:val="decimal"/>
      <w:lvlText w:val="%8.%9"/>
      <w:lvlJc w:val="left"/>
      <w:pPr>
        <w:tabs>
          <w:tab w:val="num" w:pos="6120"/>
        </w:tabs>
        <w:ind w:left="6120" w:hanging="360"/>
      </w:pPr>
    </w:lvl>
  </w:abstractNum>
  <w:abstractNum w:abstractNumId="6" w15:restartNumberingAfterBreak="0">
    <w:nsid w:val="462C41F9"/>
    <w:multiLevelType w:val="hybridMultilevel"/>
    <w:tmpl w:val="637CF52C"/>
    <w:lvl w:ilvl="0" w:tplc="1A883E76">
      <w:start w:val="1"/>
      <w:numFmt w:val="bullet"/>
      <w:lvlText w:val=""/>
      <w:lvlJc w:val="left"/>
      <w:pPr>
        <w:ind w:left="720" w:hanging="360"/>
      </w:pPr>
      <w:rPr>
        <w:rFonts w:ascii="Symbol" w:hAnsi="Symbol" w:hint="default"/>
      </w:rPr>
    </w:lvl>
    <w:lvl w:ilvl="1" w:tplc="869220DE">
      <w:start w:val="1"/>
      <w:numFmt w:val="bullet"/>
      <w:lvlText w:val="o"/>
      <w:lvlJc w:val="left"/>
      <w:pPr>
        <w:ind w:left="1440" w:hanging="360"/>
      </w:pPr>
      <w:rPr>
        <w:rFonts w:ascii="Courier New" w:hAnsi="Courier New" w:hint="default"/>
      </w:rPr>
    </w:lvl>
    <w:lvl w:ilvl="2" w:tplc="2C9E300A">
      <w:start w:val="1"/>
      <w:numFmt w:val="bullet"/>
      <w:lvlText w:val=""/>
      <w:lvlJc w:val="left"/>
      <w:pPr>
        <w:ind w:left="2160" w:hanging="360"/>
      </w:pPr>
      <w:rPr>
        <w:rFonts w:ascii="Wingdings" w:hAnsi="Wingdings" w:hint="default"/>
      </w:rPr>
    </w:lvl>
    <w:lvl w:ilvl="3" w:tplc="650252CC">
      <w:start w:val="1"/>
      <w:numFmt w:val="bullet"/>
      <w:lvlText w:val=""/>
      <w:lvlJc w:val="left"/>
      <w:pPr>
        <w:ind w:left="2880" w:hanging="360"/>
      </w:pPr>
      <w:rPr>
        <w:rFonts w:ascii="Symbol" w:hAnsi="Symbol" w:hint="default"/>
      </w:rPr>
    </w:lvl>
    <w:lvl w:ilvl="4" w:tplc="EEA82114">
      <w:start w:val="1"/>
      <w:numFmt w:val="bullet"/>
      <w:lvlText w:val="o"/>
      <w:lvlJc w:val="left"/>
      <w:pPr>
        <w:ind w:left="3600" w:hanging="360"/>
      </w:pPr>
      <w:rPr>
        <w:rFonts w:ascii="Courier New" w:hAnsi="Courier New" w:hint="default"/>
      </w:rPr>
    </w:lvl>
    <w:lvl w:ilvl="5" w:tplc="3F2A9506">
      <w:start w:val="1"/>
      <w:numFmt w:val="bullet"/>
      <w:lvlText w:val=""/>
      <w:lvlJc w:val="left"/>
      <w:pPr>
        <w:ind w:left="4320" w:hanging="360"/>
      </w:pPr>
      <w:rPr>
        <w:rFonts w:ascii="Wingdings" w:hAnsi="Wingdings" w:hint="default"/>
      </w:rPr>
    </w:lvl>
    <w:lvl w:ilvl="6" w:tplc="7D8CEBD6">
      <w:start w:val="1"/>
      <w:numFmt w:val="bullet"/>
      <w:lvlText w:val=""/>
      <w:lvlJc w:val="left"/>
      <w:pPr>
        <w:ind w:left="5040" w:hanging="360"/>
      </w:pPr>
      <w:rPr>
        <w:rFonts w:ascii="Symbol" w:hAnsi="Symbol" w:hint="default"/>
      </w:rPr>
    </w:lvl>
    <w:lvl w:ilvl="7" w:tplc="F24A9F4A">
      <w:start w:val="1"/>
      <w:numFmt w:val="bullet"/>
      <w:lvlText w:val="o"/>
      <w:lvlJc w:val="left"/>
      <w:pPr>
        <w:ind w:left="5760" w:hanging="360"/>
      </w:pPr>
      <w:rPr>
        <w:rFonts w:ascii="Courier New" w:hAnsi="Courier New" w:hint="default"/>
      </w:rPr>
    </w:lvl>
    <w:lvl w:ilvl="8" w:tplc="7602B1BA">
      <w:start w:val="1"/>
      <w:numFmt w:val="bullet"/>
      <w:lvlText w:val=""/>
      <w:lvlJc w:val="left"/>
      <w:pPr>
        <w:ind w:left="6480" w:hanging="360"/>
      </w:pPr>
      <w:rPr>
        <w:rFonts w:ascii="Wingdings" w:hAnsi="Wingdings" w:hint="default"/>
      </w:rPr>
    </w:lvl>
  </w:abstractNum>
  <w:abstractNum w:abstractNumId="7" w15:restartNumberingAfterBreak="0">
    <w:nsid w:val="50E93962"/>
    <w:multiLevelType w:val="hybridMultilevel"/>
    <w:tmpl w:val="4A54C9FE"/>
    <w:lvl w:ilvl="0" w:tplc="BF84ACD0">
      <w:start w:val="1"/>
      <w:numFmt w:val="bullet"/>
      <w:lvlText w:val=""/>
      <w:lvlJc w:val="left"/>
      <w:pPr>
        <w:ind w:left="720" w:hanging="360"/>
      </w:pPr>
      <w:rPr>
        <w:rFonts w:ascii="Symbol" w:hAnsi="Symbol" w:hint="default"/>
      </w:rPr>
    </w:lvl>
    <w:lvl w:ilvl="1" w:tplc="3E7EF0F4">
      <w:start w:val="1"/>
      <w:numFmt w:val="bullet"/>
      <w:lvlText w:val="o"/>
      <w:lvlJc w:val="left"/>
      <w:pPr>
        <w:ind w:left="1440" w:hanging="360"/>
      </w:pPr>
      <w:rPr>
        <w:rFonts w:ascii="Courier New" w:hAnsi="Courier New" w:hint="default"/>
      </w:rPr>
    </w:lvl>
    <w:lvl w:ilvl="2" w:tplc="6A6C3FAA">
      <w:start w:val="1"/>
      <w:numFmt w:val="bullet"/>
      <w:lvlText w:val=""/>
      <w:lvlJc w:val="left"/>
      <w:pPr>
        <w:ind w:left="2160" w:hanging="360"/>
      </w:pPr>
      <w:rPr>
        <w:rFonts w:ascii="Wingdings" w:hAnsi="Wingdings" w:hint="default"/>
      </w:rPr>
    </w:lvl>
    <w:lvl w:ilvl="3" w:tplc="AAE806B4">
      <w:start w:val="1"/>
      <w:numFmt w:val="bullet"/>
      <w:lvlText w:val=""/>
      <w:lvlJc w:val="left"/>
      <w:pPr>
        <w:ind w:left="2880" w:hanging="360"/>
      </w:pPr>
      <w:rPr>
        <w:rFonts w:ascii="Symbol" w:hAnsi="Symbol" w:hint="default"/>
      </w:rPr>
    </w:lvl>
    <w:lvl w:ilvl="4" w:tplc="A68CE4AE">
      <w:start w:val="1"/>
      <w:numFmt w:val="bullet"/>
      <w:lvlText w:val="o"/>
      <w:lvlJc w:val="left"/>
      <w:pPr>
        <w:ind w:left="3600" w:hanging="360"/>
      </w:pPr>
      <w:rPr>
        <w:rFonts w:ascii="Courier New" w:hAnsi="Courier New" w:hint="default"/>
      </w:rPr>
    </w:lvl>
    <w:lvl w:ilvl="5" w:tplc="63B0DF2C">
      <w:start w:val="1"/>
      <w:numFmt w:val="bullet"/>
      <w:lvlText w:val=""/>
      <w:lvlJc w:val="left"/>
      <w:pPr>
        <w:ind w:left="4320" w:hanging="360"/>
      </w:pPr>
      <w:rPr>
        <w:rFonts w:ascii="Wingdings" w:hAnsi="Wingdings" w:hint="default"/>
      </w:rPr>
    </w:lvl>
    <w:lvl w:ilvl="6" w:tplc="2764731C">
      <w:start w:val="1"/>
      <w:numFmt w:val="bullet"/>
      <w:lvlText w:val=""/>
      <w:lvlJc w:val="left"/>
      <w:pPr>
        <w:ind w:left="5040" w:hanging="360"/>
      </w:pPr>
      <w:rPr>
        <w:rFonts w:ascii="Symbol" w:hAnsi="Symbol" w:hint="default"/>
      </w:rPr>
    </w:lvl>
    <w:lvl w:ilvl="7" w:tplc="63788C8C">
      <w:start w:val="1"/>
      <w:numFmt w:val="bullet"/>
      <w:lvlText w:val="o"/>
      <w:lvlJc w:val="left"/>
      <w:pPr>
        <w:ind w:left="5760" w:hanging="360"/>
      </w:pPr>
      <w:rPr>
        <w:rFonts w:ascii="Courier New" w:hAnsi="Courier New" w:hint="default"/>
      </w:rPr>
    </w:lvl>
    <w:lvl w:ilvl="8" w:tplc="62A4AF92">
      <w:start w:val="1"/>
      <w:numFmt w:val="bullet"/>
      <w:lvlText w:val=""/>
      <w:lvlJc w:val="left"/>
      <w:pPr>
        <w:ind w:left="6480" w:hanging="360"/>
      </w:pPr>
      <w:rPr>
        <w:rFonts w:ascii="Wingdings" w:hAnsi="Wingdings" w:hint="default"/>
      </w:rPr>
    </w:lvl>
  </w:abstractNum>
  <w:abstractNum w:abstractNumId="8" w15:restartNumberingAfterBreak="0">
    <w:nsid w:val="57BD3CBE"/>
    <w:multiLevelType w:val="hybridMultilevel"/>
    <w:tmpl w:val="4A180B50"/>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9" w15:restartNumberingAfterBreak="0">
    <w:nsid w:val="58F56CB4"/>
    <w:multiLevelType w:val="hybridMultilevel"/>
    <w:tmpl w:val="074C3FFC"/>
    <w:lvl w:ilvl="0" w:tplc="10969360">
      <w:start w:val="1"/>
      <w:numFmt w:val="bullet"/>
      <w:lvlText w:val=""/>
      <w:lvlJc w:val="left"/>
      <w:pPr>
        <w:ind w:left="720" w:hanging="360"/>
      </w:pPr>
      <w:rPr>
        <w:rFonts w:ascii="Symbol" w:hAnsi="Symbol" w:hint="default"/>
      </w:rPr>
    </w:lvl>
    <w:lvl w:ilvl="1" w:tplc="31BAF214">
      <w:start w:val="1"/>
      <w:numFmt w:val="bullet"/>
      <w:lvlText w:val="o"/>
      <w:lvlJc w:val="left"/>
      <w:pPr>
        <w:ind w:left="1440" w:hanging="360"/>
      </w:pPr>
      <w:rPr>
        <w:rFonts w:ascii="Courier New" w:hAnsi="Courier New" w:hint="default"/>
      </w:rPr>
    </w:lvl>
    <w:lvl w:ilvl="2" w:tplc="A5DA0610">
      <w:start w:val="1"/>
      <w:numFmt w:val="bullet"/>
      <w:lvlText w:val=""/>
      <w:lvlJc w:val="left"/>
      <w:pPr>
        <w:ind w:left="2160" w:hanging="360"/>
      </w:pPr>
      <w:rPr>
        <w:rFonts w:ascii="Wingdings" w:hAnsi="Wingdings" w:hint="default"/>
      </w:rPr>
    </w:lvl>
    <w:lvl w:ilvl="3" w:tplc="F35498CE">
      <w:start w:val="1"/>
      <w:numFmt w:val="bullet"/>
      <w:lvlText w:val=""/>
      <w:lvlJc w:val="left"/>
      <w:pPr>
        <w:ind w:left="2880" w:hanging="360"/>
      </w:pPr>
      <w:rPr>
        <w:rFonts w:ascii="Symbol" w:hAnsi="Symbol" w:hint="default"/>
      </w:rPr>
    </w:lvl>
    <w:lvl w:ilvl="4" w:tplc="AC1AE79E">
      <w:start w:val="1"/>
      <w:numFmt w:val="bullet"/>
      <w:lvlText w:val="o"/>
      <w:lvlJc w:val="left"/>
      <w:pPr>
        <w:ind w:left="3600" w:hanging="360"/>
      </w:pPr>
      <w:rPr>
        <w:rFonts w:ascii="Courier New" w:hAnsi="Courier New" w:hint="default"/>
      </w:rPr>
    </w:lvl>
    <w:lvl w:ilvl="5" w:tplc="185A85AE">
      <w:start w:val="1"/>
      <w:numFmt w:val="bullet"/>
      <w:lvlText w:val=""/>
      <w:lvlJc w:val="left"/>
      <w:pPr>
        <w:ind w:left="4320" w:hanging="360"/>
      </w:pPr>
      <w:rPr>
        <w:rFonts w:ascii="Wingdings" w:hAnsi="Wingdings" w:hint="default"/>
      </w:rPr>
    </w:lvl>
    <w:lvl w:ilvl="6" w:tplc="079A0EEC">
      <w:start w:val="1"/>
      <w:numFmt w:val="bullet"/>
      <w:lvlText w:val=""/>
      <w:lvlJc w:val="left"/>
      <w:pPr>
        <w:ind w:left="5040" w:hanging="360"/>
      </w:pPr>
      <w:rPr>
        <w:rFonts w:ascii="Symbol" w:hAnsi="Symbol" w:hint="default"/>
      </w:rPr>
    </w:lvl>
    <w:lvl w:ilvl="7" w:tplc="E266190C">
      <w:start w:val="1"/>
      <w:numFmt w:val="bullet"/>
      <w:lvlText w:val="o"/>
      <w:lvlJc w:val="left"/>
      <w:pPr>
        <w:ind w:left="5760" w:hanging="360"/>
      </w:pPr>
      <w:rPr>
        <w:rFonts w:ascii="Courier New" w:hAnsi="Courier New" w:hint="default"/>
      </w:rPr>
    </w:lvl>
    <w:lvl w:ilvl="8" w:tplc="49B07652">
      <w:start w:val="1"/>
      <w:numFmt w:val="bullet"/>
      <w:lvlText w:val=""/>
      <w:lvlJc w:val="left"/>
      <w:pPr>
        <w:ind w:left="6480" w:hanging="360"/>
      </w:pPr>
      <w:rPr>
        <w:rFonts w:ascii="Wingdings" w:hAnsi="Wingdings" w:hint="default"/>
      </w:rPr>
    </w:lvl>
  </w:abstractNum>
  <w:abstractNum w:abstractNumId="10" w15:restartNumberingAfterBreak="0">
    <w:nsid w:val="5E3A2D28"/>
    <w:multiLevelType w:val="hybridMultilevel"/>
    <w:tmpl w:val="49F0E282"/>
    <w:lvl w:ilvl="0" w:tplc="549C4F0E">
      <w:start w:val="1"/>
      <w:numFmt w:val="bullet"/>
      <w:lvlText w:val=""/>
      <w:lvlJc w:val="left"/>
      <w:pPr>
        <w:ind w:left="720" w:hanging="360"/>
      </w:pPr>
      <w:rPr>
        <w:rFonts w:ascii="Symbol" w:hAnsi="Symbol" w:hint="default"/>
      </w:rPr>
    </w:lvl>
    <w:lvl w:ilvl="1" w:tplc="45207256">
      <w:start w:val="1"/>
      <w:numFmt w:val="bullet"/>
      <w:lvlText w:val="o"/>
      <w:lvlJc w:val="left"/>
      <w:pPr>
        <w:ind w:left="1440" w:hanging="360"/>
      </w:pPr>
      <w:rPr>
        <w:rFonts w:ascii="Courier New" w:hAnsi="Courier New" w:hint="default"/>
      </w:rPr>
    </w:lvl>
    <w:lvl w:ilvl="2" w:tplc="E3F0EDDE">
      <w:start w:val="1"/>
      <w:numFmt w:val="bullet"/>
      <w:lvlText w:val=""/>
      <w:lvlJc w:val="left"/>
      <w:pPr>
        <w:ind w:left="2160" w:hanging="360"/>
      </w:pPr>
      <w:rPr>
        <w:rFonts w:ascii="Wingdings" w:hAnsi="Wingdings" w:hint="default"/>
      </w:rPr>
    </w:lvl>
    <w:lvl w:ilvl="3" w:tplc="108884D4">
      <w:start w:val="1"/>
      <w:numFmt w:val="bullet"/>
      <w:lvlText w:val=""/>
      <w:lvlJc w:val="left"/>
      <w:pPr>
        <w:ind w:left="2880" w:hanging="360"/>
      </w:pPr>
      <w:rPr>
        <w:rFonts w:ascii="Symbol" w:hAnsi="Symbol" w:hint="default"/>
      </w:rPr>
    </w:lvl>
    <w:lvl w:ilvl="4" w:tplc="30D0F610">
      <w:start w:val="1"/>
      <w:numFmt w:val="bullet"/>
      <w:lvlText w:val="o"/>
      <w:lvlJc w:val="left"/>
      <w:pPr>
        <w:ind w:left="3600" w:hanging="360"/>
      </w:pPr>
      <w:rPr>
        <w:rFonts w:ascii="Courier New" w:hAnsi="Courier New" w:hint="default"/>
      </w:rPr>
    </w:lvl>
    <w:lvl w:ilvl="5" w:tplc="6EDA3C90">
      <w:start w:val="1"/>
      <w:numFmt w:val="bullet"/>
      <w:lvlText w:val=""/>
      <w:lvlJc w:val="left"/>
      <w:pPr>
        <w:ind w:left="4320" w:hanging="360"/>
      </w:pPr>
      <w:rPr>
        <w:rFonts w:ascii="Wingdings" w:hAnsi="Wingdings" w:hint="default"/>
      </w:rPr>
    </w:lvl>
    <w:lvl w:ilvl="6" w:tplc="E40AD79E">
      <w:start w:val="1"/>
      <w:numFmt w:val="bullet"/>
      <w:lvlText w:val=""/>
      <w:lvlJc w:val="left"/>
      <w:pPr>
        <w:ind w:left="5040" w:hanging="360"/>
      </w:pPr>
      <w:rPr>
        <w:rFonts w:ascii="Symbol" w:hAnsi="Symbol" w:hint="default"/>
      </w:rPr>
    </w:lvl>
    <w:lvl w:ilvl="7" w:tplc="714A99EE">
      <w:start w:val="1"/>
      <w:numFmt w:val="bullet"/>
      <w:lvlText w:val="o"/>
      <w:lvlJc w:val="left"/>
      <w:pPr>
        <w:ind w:left="5760" w:hanging="360"/>
      </w:pPr>
      <w:rPr>
        <w:rFonts w:ascii="Courier New" w:hAnsi="Courier New" w:hint="default"/>
      </w:rPr>
    </w:lvl>
    <w:lvl w:ilvl="8" w:tplc="B8B8F3D4">
      <w:start w:val="1"/>
      <w:numFmt w:val="bullet"/>
      <w:lvlText w:val=""/>
      <w:lvlJc w:val="left"/>
      <w:pPr>
        <w:ind w:left="6480" w:hanging="360"/>
      </w:pPr>
      <w:rPr>
        <w:rFonts w:ascii="Wingdings" w:hAnsi="Wingdings" w:hint="default"/>
      </w:rPr>
    </w:lvl>
  </w:abstractNum>
  <w:abstractNum w:abstractNumId="11" w15:restartNumberingAfterBreak="0">
    <w:nsid w:val="735F4246"/>
    <w:multiLevelType w:val="hybridMultilevel"/>
    <w:tmpl w:val="783AEDB2"/>
    <w:lvl w:ilvl="0" w:tplc="7F9862CC">
      <w:start w:val="1"/>
      <w:numFmt w:val="bullet"/>
      <w:lvlText w:val=""/>
      <w:lvlJc w:val="left"/>
      <w:pPr>
        <w:ind w:left="720" w:hanging="360"/>
      </w:pPr>
      <w:rPr>
        <w:rFonts w:ascii="Symbol" w:hAnsi="Symbol" w:hint="default"/>
      </w:rPr>
    </w:lvl>
    <w:lvl w:ilvl="1" w:tplc="95D0F280">
      <w:start w:val="1"/>
      <w:numFmt w:val="bullet"/>
      <w:lvlText w:val="o"/>
      <w:lvlJc w:val="left"/>
      <w:pPr>
        <w:ind w:left="1440" w:hanging="360"/>
      </w:pPr>
      <w:rPr>
        <w:rFonts w:ascii="Courier New" w:hAnsi="Courier New" w:hint="default"/>
      </w:rPr>
    </w:lvl>
    <w:lvl w:ilvl="2" w:tplc="9D1262C4">
      <w:start w:val="1"/>
      <w:numFmt w:val="bullet"/>
      <w:lvlText w:val=""/>
      <w:lvlJc w:val="left"/>
      <w:pPr>
        <w:ind w:left="2160" w:hanging="360"/>
      </w:pPr>
      <w:rPr>
        <w:rFonts w:ascii="Wingdings" w:hAnsi="Wingdings" w:hint="default"/>
      </w:rPr>
    </w:lvl>
    <w:lvl w:ilvl="3" w:tplc="7F8CBF04">
      <w:start w:val="1"/>
      <w:numFmt w:val="bullet"/>
      <w:lvlText w:val=""/>
      <w:lvlJc w:val="left"/>
      <w:pPr>
        <w:ind w:left="2880" w:hanging="360"/>
      </w:pPr>
      <w:rPr>
        <w:rFonts w:ascii="Symbol" w:hAnsi="Symbol" w:hint="default"/>
      </w:rPr>
    </w:lvl>
    <w:lvl w:ilvl="4" w:tplc="895E6556">
      <w:start w:val="1"/>
      <w:numFmt w:val="bullet"/>
      <w:lvlText w:val="o"/>
      <w:lvlJc w:val="left"/>
      <w:pPr>
        <w:ind w:left="3600" w:hanging="360"/>
      </w:pPr>
      <w:rPr>
        <w:rFonts w:ascii="Courier New" w:hAnsi="Courier New" w:hint="default"/>
      </w:rPr>
    </w:lvl>
    <w:lvl w:ilvl="5" w:tplc="0A804298">
      <w:start w:val="1"/>
      <w:numFmt w:val="bullet"/>
      <w:lvlText w:val=""/>
      <w:lvlJc w:val="left"/>
      <w:pPr>
        <w:ind w:left="4320" w:hanging="360"/>
      </w:pPr>
      <w:rPr>
        <w:rFonts w:ascii="Wingdings" w:hAnsi="Wingdings" w:hint="default"/>
      </w:rPr>
    </w:lvl>
    <w:lvl w:ilvl="6" w:tplc="1ECE4BFE">
      <w:start w:val="1"/>
      <w:numFmt w:val="bullet"/>
      <w:lvlText w:val=""/>
      <w:lvlJc w:val="left"/>
      <w:pPr>
        <w:ind w:left="5040" w:hanging="360"/>
      </w:pPr>
      <w:rPr>
        <w:rFonts w:ascii="Symbol" w:hAnsi="Symbol" w:hint="default"/>
      </w:rPr>
    </w:lvl>
    <w:lvl w:ilvl="7" w:tplc="AA82EC3A">
      <w:start w:val="1"/>
      <w:numFmt w:val="bullet"/>
      <w:lvlText w:val="o"/>
      <w:lvlJc w:val="left"/>
      <w:pPr>
        <w:ind w:left="5760" w:hanging="360"/>
      </w:pPr>
      <w:rPr>
        <w:rFonts w:ascii="Courier New" w:hAnsi="Courier New" w:hint="default"/>
      </w:rPr>
    </w:lvl>
    <w:lvl w:ilvl="8" w:tplc="320C48F2">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0"/>
  </w:num>
  <w:num w:numId="5">
    <w:abstractNumId w:val="6"/>
  </w:num>
  <w:num w:numId="6">
    <w:abstractNumId w:val="1"/>
  </w:num>
  <w:num w:numId="7">
    <w:abstractNumId w:val="0"/>
  </w:num>
  <w:num w:numId="8">
    <w:abstractNumId w:val="2"/>
  </w:num>
  <w:num w:numId="9">
    <w:abstractNumId w:val="3"/>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spelling="clean" w:grammar="clean"/>
  <w:defaultTabStop w:val="709"/>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3MDazMDU0tTAxMjdW0lEKTi0uzszPAykwtKwFAJZAHZQtAAAA"/>
  </w:docVars>
  <w:rsids>
    <w:rsidRoot w:val="00C55021"/>
    <w:rsid w:val="00024160"/>
    <w:rsid w:val="00033CB1"/>
    <w:rsid w:val="00035295"/>
    <w:rsid w:val="00037A9F"/>
    <w:rsid w:val="00046AB1"/>
    <w:rsid w:val="00052D2B"/>
    <w:rsid w:val="000605D8"/>
    <w:rsid w:val="00065F8B"/>
    <w:rsid w:val="000A0325"/>
    <w:rsid w:val="000A5EAA"/>
    <w:rsid w:val="000C3415"/>
    <w:rsid w:val="000E2BF2"/>
    <w:rsid w:val="000E36B9"/>
    <w:rsid w:val="000E6175"/>
    <w:rsid w:val="000E7B03"/>
    <w:rsid w:val="000F2DC6"/>
    <w:rsid w:val="00103F3A"/>
    <w:rsid w:val="00134B98"/>
    <w:rsid w:val="00143BA4"/>
    <w:rsid w:val="00145FA3"/>
    <w:rsid w:val="00146FA9"/>
    <w:rsid w:val="00163253"/>
    <w:rsid w:val="00171B0A"/>
    <w:rsid w:val="001A12B1"/>
    <w:rsid w:val="001A3ECC"/>
    <w:rsid w:val="001A6A2A"/>
    <w:rsid w:val="001B6E4C"/>
    <w:rsid w:val="001C1442"/>
    <w:rsid w:val="001C3AC6"/>
    <w:rsid w:val="001D0D2A"/>
    <w:rsid w:val="001D45AD"/>
    <w:rsid w:val="001D7C36"/>
    <w:rsid w:val="001E3C6D"/>
    <w:rsid w:val="001F153C"/>
    <w:rsid w:val="00203209"/>
    <w:rsid w:val="0021551D"/>
    <w:rsid w:val="00220E2F"/>
    <w:rsid w:val="00223A07"/>
    <w:rsid w:val="002241EE"/>
    <w:rsid w:val="0023117A"/>
    <w:rsid w:val="00231E14"/>
    <w:rsid w:val="002412DF"/>
    <w:rsid w:val="002512FC"/>
    <w:rsid w:val="00297D83"/>
    <w:rsid w:val="002A3098"/>
    <w:rsid w:val="002A7CB3"/>
    <w:rsid w:val="002C26E0"/>
    <w:rsid w:val="002C3642"/>
    <w:rsid w:val="002C4BC1"/>
    <w:rsid w:val="002D60A0"/>
    <w:rsid w:val="002D6B25"/>
    <w:rsid w:val="002E2F85"/>
    <w:rsid w:val="002E5061"/>
    <w:rsid w:val="003053BE"/>
    <w:rsid w:val="00305D14"/>
    <w:rsid w:val="003174BF"/>
    <w:rsid w:val="00323EDB"/>
    <w:rsid w:val="00336767"/>
    <w:rsid w:val="00336785"/>
    <w:rsid w:val="00345E13"/>
    <w:rsid w:val="00351D23"/>
    <w:rsid w:val="00354577"/>
    <w:rsid w:val="00361016"/>
    <w:rsid w:val="0036144E"/>
    <w:rsid w:val="00363EF7"/>
    <w:rsid w:val="00373405"/>
    <w:rsid w:val="00382318"/>
    <w:rsid w:val="0038688E"/>
    <w:rsid w:val="0039219B"/>
    <w:rsid w:val="00397117"/>
    <w:rsid w:val="003A06BB"/>
    <w:rsid w:val="003A2F5F"/>
    <w:rsid w:val="003D7E40"/>
    <w:rsid w:val="003E23A0"/>
    <w:rsid w:val="00400899"/>
    <w:rsid w:val="00404308"/>
    <w:rsid w:val="00411407"/>
    <w:rsid w:val="0041224A"/>
    <w:rsid w:val="0042719F"/>
    <w:rsid w:val="00431C5B"/>
    <w:rsid w:val="00437F3B"/>
    <w:rsid w:val="0044299A"/>
    <w:rsid w:val="00442D30"/>
    <w:rsid w:val="004512C0"/>
    <w:rsid w:val="004A6A0B"/>
    <w:rsid w:val="004B1F13"/>
    <w:rsid w:val="004C65B0"/>
    <w:rsid w:val="004D1992"/>
    <w:rsid w:val="004E0715"/>
    <w:rsid w:val="004E708E"/>
    <w:rsid w:val="004E7659"/>
    <w:rsid w:val="005019F5"/>
    <w:rsid w:val="00507111"/>
    <w:rsid w:val="00511CEC"/>
    <w:rsid w:val="00513F3F"/>
    <w:rsid w:val="0051713A"/>
    <w:rsid w:val="005263E6"/>
    <w:rsid w:val="00532246"/>
    <w:rsid w:val="005348E2"/>
    <w:rsid w:val="00534F41"/>
    <w:rsid w:val="005613E5"/>
    <w:rsid w:val="00575ECF"/>
    <w:rsid w:val="0059536F"/>
    <w:rsid w:val="005A1717"/>
    <w:rsid w:val="005A2DA4"/>
    <w:rsid w:val="005C272F"/>
    <w:rsid w:val="005C278D"/>
    <w:rsid w:val="005C5460"/>
    <w:rsid w:val="005D3B82"/>
    <w:rsid w:val="005D457E"/>
    <w:rsid w:val="005D6A6A"/>
    <w:rsid w:val="005E11A0"/>
    <w:rsid w:val="006101DD"/>
    <w:rsid w:val="0062535B"/>
    <w:rsid w:val="00625D8E"/>
    <w:rsid w:val="006340A1"/>
    <w:rsid w:val="00635B47"/>
    <w:rsid w:val="00640661"/>
    <w:rsid w:val="00641110"/>
    <w:rsid w:val="00642B4F"/>
    <w:rsid w:val="00643906"/>
    <w:rsid w:val="00666F89"/>
    <w:rsid w:val="00671ECA"/>
    <w:rsid w:val="0067208E"/>
    <w:rsid w:val="00672900"/>
    <w:rsid w:val="006754A2"/>
    <w:rsid w:val="0068272C"/>
    <w:rsid w:val="00683484"/>
    <w:rsid w:val="00683864"/>
    <w:rsid w:val="00687F9F"/>
    <w:rsid w:val="00692B8F"/>
    <w:rsid w:val="006967A9"/>
    <w:rsid w:val="006A3451"/>
    <w:rsid w:val="006A705A"/>
    <w:rsid w:val="006B1BA5"/>
    <w:rsid w:val="006B77D5"/>
    <w:rsid w:val="006C36EB"/>
    <w:rsid w:val="006D06C1"/>
    <w:rsid w:val="006D7B86"/>
    <w:rsid w:val="006E5CB4"/>
    <w:rsid w:val="007019CB"/>
    <w:rsid w:val="00704444"/>
    <w:rsid w:val="00724079"/>
    <w:rsid w:val="007359C7"/>
    <w:rsid w:val="00764E0F"/>
    <w:rsid w:val="00765E49"/>
    <w:rsid w:val="007712D9"/>
    <w:rsid w:val="007770CA"/>
    <w:rsid w:val="007834B4"/>
    <w:rsid w:val="00792A82"/>
    <w:rsid w:val="00795FD8"/>
    <w:rsid w:val="007A1F90"/>
    <w:rsid w:val="007A37DD"/>
    <w:rsid w:val="007B072B"/>
    <w:rsid w:val="007B19AC"/>
    <w:rsid w:val="007D7CC8"/>
    <w:rsid w:val="007F0901"/>
    <w:rsid w:val="007F5308"/>
    <w:rsid w:val="007F621E"/>
    <w:rsid w:val="007F6571"/>
    <w:rsid w:val="007F7820"/>
    <w:rsid w:val="00800CAF"/>
    <w:rsid w:val="008012F2"/>
    <w:rsid w:val="008047BA"/>
    <w:rsid w:val="00825822"/>
    <w:rsid w:val="00844806"/>
    <w:rsid w:val="00850C86"/>
    <w:rsid w:val="0085128B"/>
    <w:rsid w:val="0085186C"/>
    <w:rsid w:val="00874C2E"/>
    <w:rsid w:val="0088108A"/>
    <w:rsid w:val="00886A21"/>
    <w:rsid w:val="00890FF7"/>
    <w:rsid w:val="008A5DE2"/>
    <w:rsid w:val="008B57A3"/>
    <w:rsid w:val="008C19B8"/>
    <w:rsid w:val="008D122F"/>
    <w:rsid w:val="008D5D8E"/>
    <w:rsid w:val="008E360F"/>
    <w:rsid w:val="008E3D59"/>
    <w:rsid w:val="008E678A"/>
    <w:rsid w:val="009070F5"/>
    <w:rsid w:val="0091330E"/>
    <w:rsid w:val="00922228"/>
    <w:rsid w:val="00925DDC"/>
    <w:rsid w:val="0093046D"/>
    <w:rsid w:val="009309B7"/>
    <w:rsid w:val="00936AF9"/>
    <w:rsid w:val="00944925"/>
    <w:rsid w:val="009462B5"/>
    <w:rsid w:val="00954913"/>
    <w:rsid w:val="00984760"/>
    <w:rsid w:val="009911ED"/>
    <w:rsid w:val="009C3EFD"/>
    <w:rsid w:val="009C6A80"/>
    <w:rsid w:val="009D6486"/>
    <w:rsid w:val="009F4904"/>
    <w:rsid w:val="00A07D38"/>
    <w:rsid w:val="00A14BCF"/>
    <w:rsid w:val="00A24233"/>
    <w:rsid w:val="00A4327B"/>
    <w:rsid w:val="00A4577B"/>
    <w:rsid w:val="00A95AF3"/>
    <w:rsid w:val="00AA257B"/>
    <w:rsid w:val="00AA32DE"/>
    <w:rsid w:val="00AB4C19"/>
    <w:rsid w:val="00AF3304"/>
    <w:rsid w:val="00B012FA"/>
    <w:rsid w:val="00B11E45"/>
    <w:rsid w:val="00B15D5F"/>
    <w:rsid w:val="00B17C73"/>
    <w:rsid w:val="00B211F1"/>
    <w:rsid w:val="00B260F2"/>
    <w:rsid w:val="00B43C36"/>
    <w:rsid w:val="00B46921"/>
    <w:rsid w:val="00B53DE5"/>
    <w:rsid w:val="00B54B95"/>
    <w:rsid w:val="00B64A8F"/>
    <w:rsid w:val="00B65C6B"/>
    <w:rsid w:val="00B675D1"/>
    <w:rsid w:val="00B80FD0"/>
    <w:rsid w:val="00B82589"/>
    <w:rsid w:val="00B87977"/>
    <w:rsid w:val="00B9348D"/>
    <w:rsid w:val="00BA658C"/>
    <w:rsid w:val="00BB2F54"/>
    <w:rsid w:val="00BC0B25"/>
    <w:rsid w:val="00BC2C89"/>
    <w:rsid w:val="00BC4620"/>
    <w:rsid w:val="00BC5186"/>
    <w:rsid w:val="00BF1523"/>
    <w:rsid w:val="00C077CB"/>
    <w:rsid w:val="00C3152F"/>
    <w:rsid w:val="00C34C00"/>
    <w:rsid w:val="00C36C7E"/>
    <w:rsid w:val="00C43945"/>
    <w:rsid w:val="00C4629C"/>
    <w:rsid w:val="00C55021"/>
    <w:rsid w:val="00C62C41"/>
    <w:rsid w:val="00C65F9C"/>
    <w:rsid w:val="00C72106"/>
    <w:rsid w:val="00C74125"/>
    <w:rsid w:val="00CB2A38"/>
    <w:rsid w:val="00CB6113"/>
    <w:rsid w:val="00CC46D4"/>
    <w:rsid w:val="00CF2889"/>
    <w:rsid w:val="00D167AA"/>
    <w:rsid w:val="00D3279D"/>
    <w:rsid w:val="00D3642F"/>
    <w:rsid w:val="00D36DF2"/>
    <w:rsid w:val="00D42F3E"/>
    <w:rsid w:val="00D447A1"/>
    <w:rsid w:val="00D65F98"/>
    <w:rsid w:val="00D66A82"/>
    <w:rsid w:val="00D70961"/>
    <w:rsid w:val="00D7542F"/>
    <w:rsid w:val="00D81F51"/>
    <w:rsid w:val="00D82B81"/>
    <w:rsid w:val="00D84A0A"/>
    <w:rsid w:val="00D90F57"/>
    <w:rsid w:val="00D93094"/>
    <w:rsid w:val="00D954BD"/>
    <w:rsid w:val="00D96995"/>
    <w:rsid w:val="00D97485"/>
    <w:rsid w:val="00DA4A9F"/>
    <w:rsid w:val="00DC4C38"/>
    <w:rsid w:val="00DC62D9"/>
    <w:rsid w:val="00DC6514"/>
    <w:rsid w:val="00DD0FBE"/>
    <w:rsid w:val="00DE452B"/>
    <w:rsid w:val="00DF2E2A"/>
    <w:rsid w:val="00DF7B66"/>
    <w:rsid w:val="00E005B8"/>
    <w:rsid w:val="00E04EB2"/>
    <w:rsid w:val="00E1178C"/>
    <w:rsid w:val="00E144C3"/>
    <w:rsid w:val="00E170D4"/>
    <w:rsid w:val="00E17D20"/>
    <w:rsid w:val="00E20737"/>
    <w:rsid w:val="00E216D5"/>
    <w:rsid w:val="00E26B0B"/>
    <w:rsid w:val="00E27142"/>
    <w:rsid w:val="00E30350"/>
    <w:rsid w:val="00E36BAE"/>
    <w:rsid w:val="00E42C9C"/>
    <w:rsid w:val="00E554AE"/>
    <w:rsid w:val="00E84056"/>
    <w:rsid w:val="00E920BF"/>
    <w:rsid w:val="00EA20BE"/>
    <w:rsid w:val="00EA2FED"/>
    <w:rsid w:val="00EA589D"/>
    <w:rsid w:val="00ED14BF"/>
    <w:rsid w:val="00EE7EA8"/>
    <w:rsid w:val="00EF1A48"/>
    <w:rsid w:val="00EF6C5D"/>
    <w:rsid w:val="00F0399D"/>
    <w:rsid w:val="00F116A6"/>
    <w:rsid w:val="00F21529"/>
    <w:rsid w:val="00F2344B"/>
    <w:rsid w:val="00F355EA"/>
    <w:rsid w:val="00F36DC0"/>
    <w:rsid w:val="00F3738D"/>
    <w:rsid w:val="00F546B3"/>
    <w:rsid w:val="00F663E8"/>
    <w:rsid w:val="00F72078"/>
    <w:rsid w:val="00F9062A"/>
    <w:rsid w:val="00F957B6"/>
    <w:rsid w:val="00F95952"/>
    <w:rsid w:val="00FB3F98"/>
    <w:rsid w:val="00FC3673"/>
    <w:rsid w:val="00FD376D"/>
    <w:rsid w:val="00FD3E1D"/>
    <w:rsid w:val="00FE02DA"/>
    <w:rsid w:val="00FE109A"/>
    <w:rsid w:val="00FE5779"/>
    <w:rsid w:val="00FF5DA5"/>
    <w:rsid w:val="0438EAA6"/>
    <w:rsid w:val="0C42BF3F"/>
    <w:rsid w:val="1B745576"/>
    <w:rsid w:val="1CAB60DD"/>
    <w:rsid w:val="235DF6B6"/>
    <w:rsid w:val="2744735C"/>
    <w:rsid w:val="32A7258D"/>
    <w:rsid w:val="33A319FE"/>
    <w:rsid w:val="3992458D"/>
    <w:rsid w:val="4EEBA680"/>
    <w:rsid w:val="57A38557"/>
    <w:rsid w:val="6246FF9C"/>
    <w:rsid w:val="64E0AC76"/>
    <w:rsid w:val="6589FB0C"/>
    <w:rsid w:val="671697B5"/>
    <w:rsid w:val="6BE161BA"/>
    <w:rsid w:val="7BA42BCB"/>
    <w:rsid w:val="7DE1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7949"/>
  <w15:docId w15:val="{9F0EB31D-0C35-49F0-8987-A656118B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SimSun" w:hAnsi="Verdana" w:cs="Mangal"/>
        <w:kern w:val="2"/>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faseforte">
    <w:name w:val="Ênfase forte"/>
    <w:qFormat/>
    <w:rPr>
      <w:b/>
      <w:bCs/>
    </w:rPr>
  </w:style>
  <w:style w:type="paragraph" w:styleId="Ttulo">
    <w:name w:val="Title"/>
    <w:basedOn w:val="Normal"/>
    <w:next w:val="Textoindependiente"/>
    <w:qFormat/>
    <w:pPr>
      <w:keepNext/>
      <w:spacing w:before="240" w:after="120"/>
    </w:pPr>
    <w:rPr>
      <w:rFonts w:eastAsia="Microsoft YaHei"/>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notapie">
    <w:name w:val="footnote text"/>
    <w:basedOn w:val="Normal"/>
    <w:link w:val="TextonotapieCar"/>
    <w:uiPriority w:val="99"/>
    <w:semiHidden/>
    <w:unhideWhenUsed/>
    <w:rsid w:val="000E2BF2"/>
    <w:rPr>
      <w:sz w:val="20"/>
      <w:szCs w:val="18"/>
    </w:rPr>
  </w:style>
  <w:style w:type="character" w:customStyle="1" w:styleId="TextonotapieCar">
    <w:name w:val="Texto nota pie Car"/>
    <w:basedOn w:val="Fuentedeprrafopredeter"/>
    <w:link w:val="Textonotapie"/>
    <w:uiPriority w:val="99"/>
    <w:semiHidden/>
    <w:rsid w:val="000E2BF2"/>
    <w:rPr>
      <w:sz w:val="20"/>
      <w:szCs w:val="18"/>
    </w:rPr>
  </w:style>
  <w:style w:type="character" w:styleId="Refdenotaalpie">
    <w:name w:val="footnote reference"/>
    <w:basedOn w:val="Fuentedeprrafopredeter"/>
    <w:unhideWhenUsed/>
    <w:rsid w:val="000E2BF2"/>
    <w:rPr>
      <w:vertAlign w:val="superscript"/>
    </w:rPr>
  </w:style>
  <w:style w:type="character" w:customStyle="1" w:styleId="highlight">
    <w:name w:val="highlight"/>
    <w:basedOn w:val="Fuentedeprrafopredeter"/>
    <w:rsid w:val="00A24233"/>
  </w:style>
  <w:style w:type="character" w:styleId="Refdecomentario">
    <w:name w:val="annotation reference"/>
    <w:basedOn w:val="Fuentedeprrafopredeter"/>
    <w:uiPriority w:val="99"/>
    <w:semiHidden/>
    <w:unhideWhenUsed/>
    <w:rsid w:val="00037A9F"/>
    <w:rPr>
      <w:sz w:val="16"/>
      <w:szCs w:val="16"/>
    </w:rPr>
  </w:style>
  <w:style w:type="paragraph" w:styleId="Textocomentario">
    <w:name w:val="annotation text"/>
    <w:basedOn w:val="Normal"/>
    <w:link w:val="TextocomentarioCar"/>
    <w:uiPriority w:val="99"/>
    <w:unhideWhenUsed/>
    <w:rsid w:val="00037A9F"/>
    <w:rPr>
      <w:sz w:val="20"/>
      <w:szCs w:val="18"/>
    </w:rPr>
  </w:style>
  <w:style w:type="character" w:customStyle="1" w:styleId="TextocomentarioCar">
    <w:name w:val="Texto comentario Car"/>
    <w:basedOn w:val="Fuentedeprrafopredeter"/>
    <w:link w:val="Textocomentario"/>
    <w:uiPriority w:val="99"/>
    <w:rsid w:val="00037A9F"/>
    <w:rPr>
      <w:sz w:val="20"/>
      <w:szCs w:val="18"/>
    </w:rPr>
  </w:style>
  <w:style w:type="paragraph" w:styleId="Asuntodelcomentario">
    <w:name w:val="annotation subject"/>
    <w:basedOn w:val="Textocomentario"/>
    <w:next w:val="Textocomentario"/>
    <w:link w:val="AsuntodelcomentarioCar"/>
    <w:uiPriority w:val="99"/>
    <w:semiHidden/>
    <w:unhideWhenUsed/>
    <w:rsid w:val="00037A9F"/>
    <w:rPr>
      <w:b/>
      <w:bCs/>
    </w:rPr>
  </w:style>
  <w:style w:type="character" w:customStyle="1" w:styleId="AsuntodelcomentarioCar">
    <w:name w:val="Asunto del comentario Car"/>
    <w:basedOn w:val="TextocomentarioCar"/>
    <w:link w:val="Asuntodelcomentario"/>
    <w:uiPriority w:val="99"/>
    <w:semiHidden/>
    <w:rsid w:val="00037A9F"/>
    <w:rPr>
      <w:b/>
      <w:bCs/>
      <w:sz w:val="20"/>
      <w:szCs w:val="18"/>
    </w:rPr>
  </w:style>
  <w:style w:type="paragraph" w:styleId="Textodeglobo">
    <w:name w:val="Balloon Text"/>
    <w:basedOn w:val="Normal"/>
    <w:link w:val="TextodegloboCar"/>
    <w:uiPriority w:val="99"/>
    <w:semiHidden/>
    <w:unhideWhenUsed/>
    <w:rsid w:val="00037A9F"/>
    <w:rPr>
      <w:rFonts w:ascii="Segoe UI" w:hAnsi="Segoe UI"/>
      <w:sz w:val="18"/>
      <w:szCs w:val="16"/>
    </w:rPr>
  </w:style>
  <w:style w:type="character" w:customStyle="1" w:styleId="TextodegloboCar">
    <w:name w:val="Texto de globo Car"/>
    <w:basedOn w:val="Fuentedeprrafopredeter"/>
    <w:link w:val="Textodeglobo"/>
    <w:uiPriority w:val="99"/>
    <w:semiHidden/>
    <w:rsid w:val="00037A9F"/>
    <w:rPr>
      <w:rFonts w:ascii="Segoe UI" w:hAnsi="Segoe UI"/>
      <w:sz w:val="18"/>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D3642F"/>
    <w:rPr>
      <w:color w:val="605E5C"/>
      <w:shd w:val="clear" w:color="auto" w:fill="E1DFDD"/>
    </w:rPr>
  </w:style>
  <w:style w:type="character" w:customStyle="1" w:styleId="normaltextrun">
    <w:name w:val="normaltextrun"/>
    <w:basedOn w:val="Fuentedeprrafopredeter"/>
    <w:rsid w:val="00BA658C"/>
  </w:style>
  <w:style w:type="character" w:customStyle="1" w:styleId="spellingerror">
    <w:name w:val="spellingerror"/>
    <w:basedOn w:val="Fuentedeprrafopredeter"/>
    <w:rsid w:val="00BA658C"/>
  </w:style>
  <w:style w:type="paragraph" w:styleId="Encabezado">
    <w:name w:val="header"/>
    <w:basedOn w:val="Normal"/>
    <w:link w:val="EncabezadoCar"/>
    <w:uiPriority w:val="99"/>
    <w:unhideWhenUsed/>
    <w:rsid w:val="007F621E"/>
    <w:pPr>
      <w:tabs>
        <w:tab w:val="center" w:pos="4513"/>
        <w:tab w:val="right" w:pos="9026"/>
      </w:tabs>
    </w:pPr>
    <w:rPr>
      <w:szCs w:val="21"/>
    </w:rPr>
  </w:style>
  <w:style w:type="character" w:customStyle="1" w:styleId="EncabezadoCar">
    <w:name w:val="Encabezado Car"/>
    <w:basedOn w:val="Fuentedeprrafopredeter"/>
    <w:link w:val="Encabezado"/>
    <w:uiPriority w:val="99"/>
    <w:rsid w:val="007F621E"/>
    <w:rPr>
      <w:szCs w:val="21"/>
    </w:rPr>
  </w:style>
  <w:style w:type="paragraph" w:styleId="Piedepgina">
    <w:name w:val="footer"/>
    <w:basedOn w:val="Normal"/>
    <w:link w:val="PiedepginaCar"/>
    <w:uiPriority w:val="99"/>
    <w:unhideWhenUsed/>
    <w:rsid w:val="007F621E"/>
    <w:pPr>
      <w:tabs>
        <w:tab w:val="center" w:pos="4513"/>
        <w:tab w:val="right" w:pos="9026"/>
      </w:tabs>
    </w:pPr>
    <w:rPr>
      <w:szCs w:val="21"/>
    </w:rPr>
  </w:style>
  <w:style w:type="character" w:customStyle="1" w:styleId="PiedepginaCar">
    <w:name w:val="Pie de página Car"/>
    <w:basedOn w:val="Fuentedeprrafopredeter"/>
    <w:link w:val="Piedepgina"/>
    <w:uiPriority w:val="99"/>
    <w:rsid w:val="007F621E"/>
    <w:rPr>
      <w:szCs w:val="21"/>
    </w:rPr>
  </w:style>
  <w:style w:type="paragraph" w:customStyle="1" w:styleId="paragraph">
    <w:name w:val="paragraph"/>
    <w:basedOn w:val="Normal"/>
    <w:rsid w:val="00D42F3E"/>
    <w:pPr>
      <w:spacing w:before="100" w:beforeAutospacing="1" w:after="100" w:afterAutospacing="1"/>
    </w:pPr>
    <w:rPr>
      <w:rFonts w:ascii="Times New Roman" w:eastAsia="Times New Roman" w:hAnsi="Times New Roman" w:cs="Times New Roman"/>
      <w:kern w:val="0"/>
      <w:lang w:eastAsia="en-GB" w:bidi="ar-SA"/>
    </w:rPr>
  </w:style>
  <w:style w:type="character" w:customStyle="1" w:styleId="eop">
    <w:name w:val="eop"/>
    <w:basedOn w:val="Fuentedeprrafopredeter"/>
    <w:rsid w:val="00D42F3E"/>
  </w:style>
  <w:style w:type="paragraph" w:customStyle="1" w:styleId="local">
    <w:name w:val="local"/>
    <w:basedOn w:val="Normal"/>
    <w:uiPriority w:val="3"/>
    <w:rsid w:val="00C72106"/>
    <w:pPr>
      <w:spacing w:after="120"/>
      <w:jc w:val="center"/>
    </w:pPr>
    <w:rPr>
      <w:rFonts w:ascii="Arial" w:eastAsia="Times New Roman" w:hAnsi="Arial" w:cs="Times New Roman"/>
      <w:kern w:val="0"/>
      <w:sz w:val="28"/>
      <w:szCs w:val="20"/>
      <w:lang w:eastAsia="en-GB" w:bidi="ar-SA"/>
    </w:rPr>
  </w:style>
  <w:style w:type="paragraph" w:customStyle="1" w:styleId="Prrafodelista1">
    <w:name w:val="Párrafo de lista1"/>
    <w:basedOn w:val="Normal"/>
    <w:rsid w:val="00F663E8"/>
    <w:pPr>
      <w:widowControl w:val="0"/>
      <w:suppressAutoHyphens/>
      <w:spacing w:line="360" w:lineRule="auto"/>
      <w:ind w:left="720" w:firstLine="851"/>
      <w:contextualSpacing/>
      <w:jc w:val="both"/>
    </w:pPr>
    <w:rPr>
      <w:rFonts w:ascii="Times New Roman" w:eastAsia="Times New Roman" w:hAnsi="Times New Roman" w:cs="Times New Roman"/>
      <w:kern w:val="0"/>
      <w:lang w:val="es-ES" w:eastAsia="es-CL" w:bidi="ar-SA"/>
    </w:rPr>
  </w:style>
  <w:style w:type="paragraph" w:customStyle="1" w:styleId="Textocomentario1">
    <w:name w:val="Texto comentario1"/>
    <w:basedOn w:val="Normal"/>
    <w:rsid w:val="00C74125"/>
    <w:pPr>
      <w:widowControl w:val="0"/>
      <w:suppressAutoHyphens/>
      <w:ind w:firstLine="851"/>
      <w:jc w:val="both"/>
    </w:pPr>
    <w:rPr>
      <w:rFonts w:ascii="Times New Roman" w:eastAsia="Times New Roman" w:hAnsi="Times New Roman" w:cs="Times New Roman"/>
      <w:kern w:val="0"/>
      <w:sz w:val="20"/>
      <w:szCs w:val="20"/>
      <w:lang w:val="es-ES" w:eastAsia="es-CL" w:bidi="ar-SA"/>
    </w:rPr>
  </w:style>
  <w:style w:type="character" w:customStyle="1" w:styleId="ListLabel9">
    <w:name w:val="ListLabel 9"/>
    <w:rsid w:val="007019CB"/>
    <w:rPr>
      <w:u w:val="none"/>
    </w:rPr>
  </w:style>
  <w:style w:type="character" w:customStyle="1" w:styleId="Mencinsinresolver2">
    <w:name w:val="Mención sin resolver2"/>
    <w:basedOn w:val="Fuentedeprrafopredeter"/>
    <w:uiPriority w:val="99"/>
    <w:semiHidden/>
    <w:unhideWhenUsed/>
    <w:rsid w:val="00CF2889"/>
    <w:rPr>
      <w:color w:val="605E5C"/>
      <w:shd w:val="clear" w:color="auto" w:fill="E1DFDD"/>
    </w:rPr>
  </w:style>
  <w:style w:type="character" w:styleId="Textoennegrita">
    <w:name w:val="Strong"/>
    <w:basedOn w:val="Fuentedeprrafopredeter"/>
    <w:uiPriority w:val="22"/>
    <w:qFormat/>
    <w:rsid w:val="00BC0B25"/>
    <w:rPr>
      <w:b/>
      <w:bCs/>
    </w:rPr>
  </w:style>
  <w:style w:type="paragraph" w:customStyle="1" w:styleId="Default">
    <w:name w:val="Default"/>
    <w:rsid w:val="007834B4"/>
    <w:pPr>
      <w:autoSpaceDE w:val="0"/>
      <w:autoSpaceDN w:val="0"/>
      <w:adjustRightInd w:val="0"/>
    </w:pPr>
    <w:rPr>
      <w:rFonts w:ascii="Times New Roman" w:hAnsi="Times New Roman" w:cs="Times New Roman"/>
      <w:color w:val="000000"/>
      <w:kern w:val="0"/>
      <w:lang w:val="es-CL" w:bidi="ar-SA"/>
    </w:rPr>
  </w:style>
  <w:style w:type="paragraph" w:styleId="Revisin">
    <w:name w:val="Revision"/>
    <w:hidden/>
    <w:uiPriority w:val="99"/>
    <w:semiHidden/>
    <w:rsid w:val="00890FF7"/>
    <w:rPr>
      <w:szCs w:val="21"/>
    </w:rPr>
  </w:style>
  <w:style w:type="table" w:styleId="Tablanormal3">
    <w:name w:val="Plain Table 3"/>
    <w:basedOn w:val="Tablanormal"/>
    <w:uiPriority w:val="43"/>
    <w:rsid w:val="00936AF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936AF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936A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936A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36A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1873">
      <w:bodyDiv w:val="1"/>
      <w:marLeft w:val="0"/>
      <w:marRight w:val="0"/>
      <w:marTop w:val="0"/>
      <w:marBottom w:val="0"/>
      <w:divBdr>
        <w:top w:val="none" w:sz="0" w:space="0" w:color="auto"/>
        <w:left w:val="none" w:sz="0" w:space="0" w:color="auto"/>
        <w:bottom w:val="none" w:sz="0" w:space="0" w:color="auto"/>
        <w:right w:val="none" w:sz="0" w:space="0" w:color="auto"/>
      </w:divBdr>
      <w:divsChild>
        <w:div w:id="635646999">
          <w:marLeft w:val="0"/>
          <w:marRight w:val="0"/>
          <w:marTop w:val="0"/>
          <w:marBottom w:val="0"/>
          <w:divBdr>
            <w:top w:val="none" w:sz="0" w:space="0" w:color="auto"/>
            <w:left w:val="none" w:sz="0" w:space="0" w:color="auto"/>
            <w:bottom w:val="none" w:sz="0" w:space="0" w:color="auto"/>
            <w:right w:val="none" w:sz="0" w:space="0" w:color="auto"/>
          </w:divBdr>
        </w:div>
        <w:div w:id="1680347601">
          <w:marLeft w:val="0"/>
          <w:marRight w:val="0"/>
          <w:marTop w:val="0"/>
          <w:marBottom w:val="0"/>
          <w:divBdr>
            <w:top w:val="none" w:sz="0" w:space="0" w:color="auto"/>
            <w:left w:val="none" w:sz="0" w:space="0" w:color="auto"/>
            <w:bottom w:val="none" w:sz="0" w:space="0" w:color="auto"/>
            <w:right w:val="none" w:sz="0" w:space="0" w:color="auto"/>
          </w:divBdr>
        </w:div>
        <w:div w:id="473639461">
          <w:marLeft w:val="0"/>
          <w:marRight w:val="0"/>
          <w:marTop w:val="0"/>
          <w:marBottom w:val="0"/>
          <w:divBdr>
            <w:top w:val="none" w:sz="0" w:space="0" w:color="auto"/>
            <w:left w:val="none" w:sz="0" w:space="0" w:color="auto"/>
            <w:bottom w:val="none" w:sz="0" w:space="0" w:color="auto"/>
            <w:right w:val="none" w:sz="0" w:space="0" w:color="auto"/>
          </w:divBdr>
        </w:div>
      </w:divsChild>
    </w:div>
    <w:div w:id="1924103619">
      <w:bodyDiv w:val="1"/>
      <w:marLeft w:val="0"/>
      <w:marRight w:val="0"/>
      <w:marTop w:val="0"/>
      <w:marBottom w:val="0"/>
      <w:divBdr>
        <w:top w:val="none" w:sz="0" w:space="0" w:color="auto"/>
        <w:left w:val="none" w:sz="0" w:space="0" w:color="auto"/>
        <w:bottom w:val="none" w:sz="0" w:space="0" w:color="auto"/>
        <w:right w:val="none" w:sz="0" w:space="0" w:color="auto"/>
      </w:divBdr>
      <w:divsChild>
        <w:div w:id="802624264">
          <w:marLeft w:val="0"/>
          <w:marRight w:val="0"/>
          <w:marTop w:val="0"/>
          <w:marBottom w:val="0"/>
          <w:divBdr>
            <w:top w:val="none" w:sz="0" w:space="0" w:color="auto"/>
            <w:left w:val="none" w:sz="0" w:space="0" w:color="auto"/>
            <w:bottom w:val="none" w:sz="0" w:space="0" w:color="auto"/>
            <w:right w:val="none" w:sz="0" w:space="0" w:color="auto"/>
          </w:divBdr>
        </w:div>
        <w:div w:id="346254389">
          <w:marLeft w:val="0"/>
          <w:marRight w:val="0"/>
          <w:marTop w:val="0"/>
          <w:marBottom w:val="0"/>
          <w:divBdr>
            <w:top w:val="none" w:sz="0" w:space="0" w:color="auto"/>
            <w:left w:val="none" w:sz="0" w:space="0" w:color="auto"/>
            <w:bottom w:val="none" w:sz="0" w:space="0" w:color="auto"/>
            <w:right w:val="none" w:sz="0" w:space="0" w:color="auto"/>
          </w:divBdr>
        </w:div>
        <w:div w:id="1654488547">
          <w:marLeft w:val="0"/>
          <w:marRight w:val="0"/>
          <w:marTop w:val="0"/>
          <w:marBottom w:val="0"/>
          <w:divBdr>
            <w:top w:val="none" w:sz="0" w:space="0" w:color="auto"/>
            <w:left w:val="none" w:sz="0" w:space="0" w:color="auto"/>
            <w:bottom w:val="none" w:sz="0" w:space="0" w:color="auto"/>
            <w:right w:val="none" w:sz="0" w:space="0" w:color="auto"/>
          </w:divBdr>
        </w:div>
        <w:div w:id="431751341">
          <w:marLeft w:val="0"/>
          <w:marRight w:val="0"/>
          <w:marTop w:val="0"/>
          <w:marBottom w:val="0"/>
          <w:divBdr>
            <w:top w:val="none" w:sz="0" w:space="0" w:color="auto"/>
            <w:left w:val="none" w:sz="0" w:space="0" w:color="auto"/>
            <w:bottom w:val="none" w:sz="0" w:space="0" w:color="auto"/>
            <w:right w:val="none" w:sz="0" w:space="0" w:color="auto"/>
          </w:divBdr>
        </w:div>
        <w:div w:id="78841972">
          <w:marLeft w:val="0"/>
          <w:marRight w:val="0"/>
          <w:marTop w:val="0"/>
          <w:marBottom w:val="0"/>
          <w:divBdr>
            <w:top w:val="none" w:sz="0" w:space="0" w:color="auto"/>
            <w:left w:val="none" w:sz="0" w:space="0" w:color="auto"/>
            <w:bottom w:val="none" w:sz="0" w:space="0" w:color="auto"/>
            <w:right w:val="none" w:sz="0" w:space="0" w:color="auto"/>
          </w:divBdr>
        </w:div>
        <w:div w:id="1119490703">
          <w:marLeft w:val="0"/>
          <w:marRight w:val="0"/>
          <w:marTop w:val="0"/>
          <w:marBottom w:val="0"/>
          <w:divBdr>
            <w:top w:val="none" w:sz="0" w:space="0" w:color="auto"/>
            <w:left w:val="none" w:sz="0" w:space="0" w:color="auto"/>
            <w:bottom w:val="none" w:sz="0" w:space="0" w:color="auto"/>
            <w:right w:val="none" w:sz="0" w:space="0" w:color="auto"/>
          </w:divBdr>
        </w:div>
        <w:div w:id="1971007220">
          <w:marLeft w:val="0"/>
          <w:marRight w:val="0"/>
          <w:marTop w:val="0"/>
          <w:marBottom w:val="0"/>
          <w:divBdr>
            <w:top w:val="none" w:sz="0" w:space="0" w:color="auto"/>
            <w:left w:val="none" w:sz="0" w:space="0" w:color="auto"/>
            <w:bottom w:val="none" w:sz="0" w:space="0" w:color="auto"/>
            <w:right w:val="none" w:sz="0" w:space="0" w:color="auto"/>
          </w:divBdr>
        </w:div>
        <w:div w:id="1368675302">
          <w:marLeft w:val="0"/>
          <w:marRight w:val="0"/>
          <w:marTop w:val="0"/>
          <w:marBottom w:val="0"/>
          <w:divBdr>
            <w:top w:val="none" w:sz="0" w:space="0" w:color="auto"/>
            <w:left w:val="none" w:sz="0" w:space="0" w:color="auto"/>
            <w:bottom w:val="none" w:sz="0" w:space="0" w:color="auto"/>
            <w:right w:val="none" w:sz="0" w:space="0" w:color="auto"/>
          </w:divBdr>
        </w:div>
        <w:div w:id="960040736">
          <w:marLeft w:val="0"/>
          <w:marRight w:val="0"/>
          <w:marTop w:val="0"/>
          <w:marBottom w:val="0"/>
          <w:divBdr>
            <w:top w:val="none" w:sz="0" w:space="0" w:color="auto"/>
            <w:left w:val="none" w:sz="0" w:space="0" w:color="auto"/>
            <w:bottom w:val="none" w:sz="0" w:space="0" w:color="auto"/>
            <w:right w:val="none" w:sz="0" w:space="0" w:color="auto"/>
          </w:divBdr>
        </w:div>
        <w:div w:id="9603033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image" Target="media/image9.emf"/><Relationship Id="rId34" Type="http://schemas.openxmlformats.org/officeDocument/2006/relationships/hyperlink" Target="http://www.irem.univ-paris-diderot.fr/~kuzniak/publi/ETM_FR/Annales_16.pdf"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hyperlink" Target="http://theses.md.univ-paris-diderot.fr/DEROUET_charlotte_2_va_20161125.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image" Target="media/image13.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hyperlink" Target="http://matema.ujaen.es/jnavas/web_modelos/index.htm"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paulasinttia@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eriodicos.ulbra.br/index.php/acta/about/submissions#copyrightNotice" TargetMode="External"/><Relationship Id="rId2" Type="http://schemas.openxmlformats.org/officeDocument/2006/relationships/image" Target="media/image18.jpeg"/><Relationship Id="rId1" Type="http://schemas.openxmlformats.org/officeDocument/2006/relationships/hyperlink" Target="http://www.periodicos.ulbra.br/index.php/acta/" TargetMode="External"/><Relationship Id="rId4" Type="http://schemas.openxmlformats.org/officeDocument/2006/relationships/image" Target="media/image1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C44A-AB0E-4357-B50C-825D12B7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9520</Words>
  <Characters>52362</Characters>
  <Application>Microsoft Office Word</Application>
  <DocSecurity>0</DocSecurity>
  <Lines>436</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dos Santos</dc:creator>
  <dc:description/>
  <cp:lastModifiedBy>AspireAcer</cp:lastModifiedBy>
  <cp:revision>15</cp:revision>
  <cp:lastPrinted>2022-04-26T13:43:00Z</cp:lastPrinted>
  <dcterms:created xsi:type="dcterms:W3CDTF">2022-05-04T19:23:00Z</dcterms:created>
  <dcterms:modified xsi:type="dcterms:W3CDTF">2022-05-05T21:26:00Z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