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4E4CB" w14:textId="067A0A87" w:rsidR="235DF6B6" w:rsidRPr="006967A9" w:rsidRDefault="005C7E51" w:rsidP="00575ECF">
      <w:pPr>
        <w:jc w:val="center"/>
        <w:rPr>
          <w:rFonts w:eastAsia="Times New Roman" w:cs="Times New Roman"/>
          <w:b/>
          <w:bCs/>
          <w:sz w:val="28"/>
          <w:szCs w:val="28"/>
        </w:rPr>
      </w:pPr>
      <w:bookmarkStart w:id="0" w:name="_GoBack"/>
      <w:bookmarkEnd w:id="0"/>
      <w:r>
        <w:rPr>
          <w:rFonts w:eastAsia="Times New Roman" w:cs="Times New Roman"/>
          <w:b/>
          <w:bCs/>
          <w:sz w:val="28"/>
          <w:szCs w:val="28"/>
        </w:rPr>
        <w:t>Un modelo epistemológico de referencia en torno a la determinación y construcción de sólidos para la enseñanza secundaria obligatoria</w:t>
      </w:r>
    </w:p>
    <w:p w14:paraId="23F9B14E" w14:textId="678D854B" w:rsidR="57A38557" w:rsidRDefault="57A38557" w:rsidP="57A38557">
      <w:pPr>
        <w:jc w:val="center"/>
        <w:rPr>
          <w:rFonts w:eastAsia="Times New Roman" w:cs="Times New Roman"/>
        </w:rPr>
      </w:pPr>
    </w:p>
    <w:p w14:paraId="39BBC1CC" w14:textId="01E80857" w:rsidR="57A38557" w:rsidRPr="00145FA3" w:rsidRDefault="0051096E" w:rsidP="0051096E">
      <w:pPr>
        <w:shd w:val="clear" w:color="auto" w:fill="FFFFFF"/>
        <w:jc w:val="center"/>
        <w:rPr>
          <w:szCs w:val="22"/>
        </w:rPr>
      </w:pPr>
      <w:bookmarkStart w:id="1" w:name="_Hlk45178606"/>
      <w:r>
        <w:rPr>
          <w:rFonts w:eastAsia="Times New Roman" w:cs="Times New Roman"/>
          <w:sz w:val="20"/>
          <w:szCs w:val="20"/>
        </w:rPr>
        <w:t>Autor</w:t>
      </w:r>
      <w:r w:rsidR="57A38557" w:rsidRPr="00145FA3">
        <w:rPr>
          <w:rFonts w:eastAsia="Times New Roman" w:cs="Times New Roman"/>
          <w:sz w:val="20"/>
          <w:szCs w:val="20"/>
          <w:vertAlign w:val="superscript"/>
        </w:rPr>
        <w:t>a</w:t>
      </w:r>
      <w:r w:rsidR="57A38557" w:rsidRPr="00145FA3">
        <w:rPr>
          <w:rFonts w:eastAsia="Times New Roman" w:cs="Times New Roman"/>
          <w:sz w:val="20"/>
          <w:szCs w:val="20"/>
        </w:rPr>
        <w:t xml:space="preserve"> ORCID </w:t>
      </w:r>
      <w:proofErr w:type="spellStart"/>
      <w:r w:rsidR="57A38557" w:rsidRPr="00145FA3">
        <w:rPr>
          <w:rFonts w:eastAsia="Times New Roman" w:cs="Times New Roman"/>
          <w:sz w:val="20"/>
          <w:szCs w:val="20"/>
        </w:rPr>
        <w:t>iD</w:t>
      </w:r>
      <w:proofErr w:type="spellEnd"/>
      <w:r w:rsidR="57A38557" w:rsidRPr="00145FA3">
        <w:rPr>
          <w:rFonts w:eastAsia="Times New Roman" w:cs="Times New Roman"/>
          <w:sz w:val="20"/>
          <w:szCs w:val="20"/>
        </w:rPr>
        <w:t xml:space="preserve"> </w:t>
      </w:r>
    </w:p>
    <w:p w14:paraId="707FD719" w14:textId="3D94A921" w:rsidR="57A38557" w:rsidRPr="00145FA3" w:rsidRDefault="0051096E" w:rsidP="0051096E">
      <w:pPr>
        <w:shd w:val="clear" w:color="auto" w:fill="FFFFFF"/>
        <w:jc w:val="center"/>
        <w:rPr>
          <w:szCs w:val="22"/>
        </w:rPr>
      </w:pPr>
      <w:proofErr w:type="spellStart"/>
      <w:r>
        <w:rPr>
          <w:rFonts w:eastAsia="Times New Roman" w:cs="Times New Roman"/>
          <w:sz w:val="20"/>
          <w:szCs w:val="20"/>
        </w:rPr>
        <w:t>Autor</w:t>
      </w:r>
      <w:r w:rsidR="57A38557" w:rsidRPr="00145FA3">
        <w:rPr>
          <w:rFonts w:eastAsia="Times New Roman" w:cs="Times New Roman"/>
          <w:sz w:val="20"/>
          <w:szCs w:val="20"/>
          <w:vertAlign w:val="superscript"/>
        </w:rPr>
        <w:t>b</w:t>
      </w:r>
      <w:proofErr w:type="spellEnd"/>
      <w:r w:rsidR="57A38557" w:rsidRPr="00145FA3">
        <w:rPr>
          <w:rFonts w:eastAsia="Times New Roman" w:cs="Times New Roman"/>
          <w:sz w:val="20"/>
          <w:szCs w:val="20"/>
        </w:rPr>
        <w:t xml:space="preserve"> ORCID </w:t>
      </w:r>
      <w:proofErr w:type="spellStart"/>
      <w:r w:rsidR="57A38557" w:rsidRPr="00145FA3">
        <w:rPr>
          <w:rFonts w:eastAsia="Times New Roman" w:cs="Times New Roman"/>
          <w:sz w:val="20"/>
          <w:szCs w:val="20"/>
        </w:rPr>
        <w:t>iD</w:t>
      </w:r>
      <w:proofErr w:type="spellEnd"/>
      <w:r w:rsidR="57A38557" w:rsidRPr="00145FA3">
        <w:rPr>
          <w:rFonts w:eastAsia="Times New Roman" w:cs="Times New Roman"/>
          <w:sz w:val="20"/>
          <w:szCs w:val="20"/>
        </w:rPr>
        <w:t xml:space="preserve"> </w:t>
      </w:r>
    </w:p>
    <w:p w14:paraId="283628E9" w14:textId="3B3F8947" w:rsidR="57A38557" w:rsidRPr="000E6175" w:rsidRDefault="57A38557" w:rsidP="57A38557">
      <w:pPr>
        <w:jc w:val="center"/>
        <w:rPr>
          <w:rFonts w:eastAsia="Times New Roman" w:cs="Times New Roman"/>
        </w:rPr>
      </w:pPr>
    </w:p>
    <w:p w14:paraId="1B3F23EE" w14:textId="65DCA697" w:rsidR="6589FB0C" w:rsidRPr="008E65F1" w:rsidRDefault="3992458D" w:rsidP="3992458D">
      <w:pPr>
        <w:jc w:val="center"/>
        <w:rPr>
          <w:rFonts w:eastAsia="Times New Roman" w:cs="Times New Roman"/>
          <w:sz w:val="16"/>
          <w:szCs w:val="16"/>
          <w:lang w:val="es-CO"/>
        </w:rPr>
      </w:pPr>
      <w:r w:rsidRPr="008E65F1">
        <w:rPr>
          <w:rFonts w:eastAsia="Times New Roman" w:cs="Times New Roman"/>
          <w:sz w:val="16"/>
          <w:szCs w:val="16"/>
          <w:vertAlign w:val="superscript"/>
          <w:lang w:val="es-CO"/>
        </w:rPr>
        <w:t>a</w:t>
      </w:r>
      <w:r w:rsidRPr="008E65F1">
        <w:rPr>
          <w:rFonts w:eastAsia="Times New Roman" w:cs="Times New Roman"/>
          <w:sz w:val="16"/>
          <w:szCs w:val="16"/>
          <w:lang w:val="es-CO"/>
        </w:rPr>
        <w:t xml:space="preserve"> </w:t>
      </w:r>
      <w:r w:rsidR="00843FC8">
        <w:rPr>
          <w:rFonts w:eastAsia="Times New Roman" w:cs="Times New Roman"/>
          <w:sz w:val="16"/>
          <w:szCs w:val="16"/>
          <w:lang w:val="es-CO"/>
        </w:rPr>
        <w:t>xxx</w:t>
      </w:r>
    </w:p>
    <w:p w14:paraId="3485CD23" w14:textId="0208EA32" w:rsidR="6589FB0C" w:rsidRPr="004F2FE1" w:rsidRDefault="3992458D" w:rsidP="6589FB0C">
      <w:pPr>
        <w:jc w:val="center"/>
        <w:rPr>
          <w:lang w:val="es-CO"/>
        </w:rPr>
      </w:pPr>
      <w:r w:rsidRPr="004F2FE1">
        <w:rPr>
          <w:rFonts w:eastAsia="Times New Roman" w:cs="Times New Roman"/>
          <w:sz w:val="16"/>
          <w:szCs w:val="16"/>
          <w:vertAlign w:val="superscript"/>
          <w:lang w:val="es-CO"/>
        </w:rPr>
        <w:t>b</w:t>
      </w:r>
      <w:r w:rsidRPr="004F2FE1">
        <w:rPr>
          <w:rFonts w:eastAsia="Times New Roman" w:cs="Times New Roman"/>
          <w:sz w:val="16"/>
          <w:szCs w:val="16"/>
          <w:lang w:val="es-CO"/>
        </w:rPr>
        <w:t xml:space="preserve"> </w:t>
      </w:r>
      <w:r w:rsidR="00843FC8">
        <w:rPr>
          <w:rFonts w:eastAsia="Times New Roman" w:cs="Times New Roman"/>
          <w:sz w:val="16"/>
          <w:szCs w:val="16"/>
          <w:lang w:val="es-CO"/>
        </w:rPr>
        <w:t>xxx</w:t>
      </w:r>
    </w:p>
    <w:p w14:paraId="53E87B8B" w14:textId="1B5811BD" w:rsidR="235DF6B6" w:rsidRPr="004F2FE1" w:rsidRDefault="235DF6B6" w:rsidP="000E6175">
      <w:pPr>
        <w:jc w:val="center"/>
        <w:rPr>
          <w:rFonts w:eastAsia="Times New Roman" w:cs="Times New Roman"/>
          <w:lang w:val="es-CO"/>
        </w:rPr>
      </w:pPr>
    </w:p>
    <w:bookmarkEnd w:id="1"/>
    <w:p w14:paraId="41D54082" w14:textId="5D372749" w:rsidR="235DF6B6" w:rsidRPr="004A76B4" w:rsidRDefault="00AB5212" w:rsidP="235DF6B6">
      <w:pPr>
        <w:rPr>
          <w:szCs w:val="22"/>
          <w:lang w:val="es-CO"/>
        </w:rPr>
      </w:pPr>
      <w:r w:rsidRPr="004A76B4">
        <w:rPr>
          <w:rFonts w:eastAsia="Times New Roman" w:cs="Times New Roman"/>
          <w:b/>
          <w:bCs/>
          <w:lang w:val="es-CO"/>
        </w:rPr>
        <w:t>Resumen</w:t>
      </w:r>
    </w:p>
    <w:p w14:paraId="74EE2AB3" w14:textId="30B2ED48" w:rsidR="004B5CF0" w:rsidRDefault="004B5CF0" w:rsidP="004B5CF0">
      <w:pPr>
        <w:rPr>
          <w:rFonts w:cs="Times New Roman"/>
          <w:sz w:val="20"/>
          <w:szCs w:val="20"/>
        </w:rPr>
      </w:pPr>
      <w:r>
        <w:rPr>
          <w:rFonts w:cs="Times New Roman"/>
          <w:b/>
          <w:bCs/>
          <w:sz w:val="20"/>
          <w:szCs w:val="20"/>
        </w:rPr>
        <w:t>Contexto</w:t>
      </w:r>
      <w:r w:rsidRPr="00FF5976">
        <w:rPr>
          <w:rFonts w:cs="Times New Roman"/>
          <w:b/>
          <w:bCs/>
          <w:sz w:val="20"/>
          <w:szCs w:val="20"/>
        </w:rPr>
        <w:t xml:space="preserve">: </w:t>
      </w:r>
      <w:r>
        <w:rPr>
          <w:rFonts w:cs="Times New Roman"/>
          <w:sz w:val="20"/>
          <w:szCs w:val="20"/>
        </w:rPr>
        <w:t>En el análisis de los</w:t>
      </w:r>
      <w:r w:rsidRPr="00FF5976">
        <w:rPr>
          <w:rFonts w:cs="Times New Roman"/>
          <w:sz w:val="20"/>
          <w:szCs w:val="20"/>
        </w:rPr>
        <w:t xml:space="preserve"> saberes geométricos propuestos en el currículo de Educación Secundaria se manifiesta</w:t>
      </w:r>
      <w:r>
        <w:rPr>
          <w:rFonts w:cs="Times New Roman"/>
          <w:sz w:val="20"/>
          <w:szCs w:val="20"/>
        </w:rPr>
        <w:t>n fenómenos como</w:t>
      </w:r>
      <w:r w:rsidRPr="00FF5976">
        <w:rPr>
          <w:rFonts w:cs="Times New Roman"/>
          <w:sz w:val="20"/>
          <w:szCs w:val="20"/>
        </w:rPr>
        <w:t xml:space="preserve"> </w:t>
      </w:r>
      <w:r>
        <w:rPr>
          <w:rFonts w:cs="Times New Roman"/>
          <w:sz w:val="20"/>
          <w:szCs w:val="20"/>
        </w:rPr>
        <w:t>la</w:t>
      </w:r>
      <w:r w:rsidRPr="00FF5976">
        <w:rPr>
          <w:rFonts w:cs="Times New Roman"/>
          <w:sz w:val="20"/>
          <w:szCs w:val="20"/>
        </w:rPr>
        <w:t xml:space="preserve"> separación entre las geometrías 2D y 3D y </w:t>
      </w:r>
      <w:r>
        <w:rPr>
          <w:rFonts w:cs="Times New Roman"/>
          <w:sz w:val="20"/>
          <w:szCs w:val="20"/>
        </w:rPr>
        <w:t>el</w:t>
      </w:r>
      <w:r w:rsidRPr="00FF5976">
        <w:rPr>
          <w:rFonts w:cs="Times New Roman"/>
          <w:sz w:val="20"/>
          <w:szCs w:val="20"/>
        </w:rPr>
        <w:t xml:space="preserve"> debilitamiento de la actividad de modelización en geometría</w:t>
      </w:r>
      <w:r>
        <w:rPr>
          <w:rFonts w:cs="Times New Roman"/>
          <w:sz w:val="20"/>
          <w:szCs w:val="20"/>
        </w:rPr>
        <w:t>.</w:t>
      </w:r>
      <w:r w:rsidRPr="00FF5976">
        <w:rPr>
          <w:rFonts w:cs="Times New Roman"/>
          <w:sz w:val="20"/>
          <w:szCs w:val="20"/>
        </w:rPr>
        <w:t xml:space="preserve"> Brousseau considera que la construcción de figuras es un primer ejemplo de modelización de una parte de la geometría. </w:t>
      </w:r>
      <w:r w:rsidRPr="00FF5976">
        <w:rPr>
          <w:rFonts w:cs="Times New Roman"/>
          <w:b/>
          <w:bCs/>
          <w:sz w:val="20"/>
          <w:szCs w:val="20"/>
        </w:rPr>
        <w:t>Objetivos:</w:t>
      </w:r>
      <w:r>
        <w:rPr>
          <w:rFonts w:cs="Times New Roman"/>
          <w:b/>
          <w:bCs/>
          <w:sz w:val="20"/>
          <w:szCs w:val="20"/>
        </w:rPr>
        <w:t xml:space="preserve"> </w:t>
      </w:r>
      <w:r w:rsidRPr="00A67B72">
        <w:rPr>
          <w:rFonts w:cs="Times New Roman"/>
          <w:sz w:val="20"/>
          <w:szCs w:val="20"/>
        </w:rPr>
        <w:t>Con</w:t>
      </w:r>
      <w:r>
        <w:rPr>
          <w:rFonts w:cs="Times New Roman"/>
          <w:sz w:val="20"/>
          <w:szCs w:val="20"/>
        </w:rPr>
        <w:t>struir un Modelo Epistemológico de Referencia que e</w:t>
      </w:r>
      <w:r w:rsidRPr="00FF5976">
        <w:rPr>
          <w:rFonts w:cs="Times New Roman"/>
          <w:sz w:val="20"/>
          <w:szCs w:val="20"/>
        </w:rPr>
        <w:t>xplicita las condiciones que permiten determinar la forma y el tamaño de un sólido y</w:t>
      </w:r>
      <w:r>
        <w:rPr>
          <w:rFonts w:cs="Times New Roman"/>
          <w:sz w:val="20"/>
          <w:szCs w:val="20"/>
        </w:rPr>
        <w:t xml:space="preserve"> </w:t>
      </w:r>
      <w:r w:rsidRPr="00FF5976">
        <w:rPr>
          <w:rFonts w:cs="Times New Roman"/>
          <w:sz w:val="20"/>
          <w:szCs w:val="20"/>
        </w:rPr>
        <w:t xml:space="preserve">buscar qué posibles técnicas </w:t>
      </w:r>
      <w:r>
        <w:rPr>
          <w:rFonts w:cs="Times New Roman"/>
          <w:sz w:val="20"/>
          <w:szCs w:val="20"/>
        </w:rPr>
        <w:t>permiten</w:t>
      </w:r>
      <w:r w:rsidRPr="00FF5976">
        <w:rPr>
          <w:rFonts w:cs="Times New Roman"/>
          <w:sz w:val="20"/>
          <w:szCs w:val="20"/>
        </w:rPr>
        <w:t xml:space="preserve"> construirlo. </w:t>
      </w:r>
      <w:r w:rsidRPr="00FF5976">
        <w:rPr>
          <w:rFonts w:cs="Times New Roman"/>
          <w:b/>
          <w:bCs/>
          <w:sz w:val="20"/>
          <w:szCs w:val="20"/>
        </w:rPr>
        <w:t xml:space="preserve">Metodología: </w:t>
      </w:r>
      <w:r w:rsidRPr="00FF5976">
        <w:rPr>
          <w:rFonts w:cs="Times New Roman"/>
          <w:sz w:val="20"/>
          <w:szCs w:val="20"/>
        </w:rPr>
        <w:t xml:space="preserve">Investigación teórica en el marco de la Teoría </w:t>
      </w:r>
      <w:r>
        <w:rPr>
          <w:rFonts w:cs="Times New Roman"/>
          <w:sz w:val="20"/>
          <w:szCs w:val="20"/>
        </w:rPr>
        <w:t>A</w:t>
      </w:r>
      <w:r w:rsidRPr="00FF5976">
        <w:rPr>
          <w:rFonts w:cs="Times New Roman"/>
          <w:sz w:val="20"/>
          <w:szCs w:val="20"/>
        </w:rPr>
        <w:t xml:space="preserve">ntropológica de los </w:t>
      </w:r>
      <w:r>
        <w:rPr>
          <w:rFonts w:cs="Times New Roman"/>
          <w:sz w:val="20"/>
          <w:szCs w:val="20"/>
        </w:rPr>
        <w:t>D</w:t>
      </w:r>
      <w:r w:rsidRPr="00FF5976">
        <w:rPr>
          <w:rFonts w:cs="Times New Roman"/>
          <w:sz w:val="20"/>
          <w:szCs w:val="20"/>
        </w:rPr>
        <w:t xml:space="preserve">idáctico. </w:t>
      </w:r>
      <w:r w:rsidRPr="00FF5976">
        <w:rPr>
          <w:rFonts w:cs="Times New Roman"/>
          <w:b/>
          <w:bCs/>
          <w:sz w:val="20"/>
          <w:szCs w:val="20"/>
        </w:rPr>
        <w:t xml:space="preserve">Entorno y participantes: </w:t>
      </w:r>
      <w:r w:rsidRPr="00FF5976">
        <w:rPr>
          <w:rFonts w:cs="Times New Roman"/>
          <w:sz w:val="20"/>
          <w:szCs w:val="20"/>
        </w:rPr>
        <w:t xml:space="preserve">El Modelo construido es fruto de varios trabajos realizados en los tres últimos años: análisis de textos escolares y diseño, implementación y análisis de un recorrido de estudio e investigación </w:t>
      </w:r>
      <w:r>
        <w:rPr>
          <w:rFonts w:cs="Times New Roman"/>
          <w:sz w:val="20"/>
          <w:szCs w:val="20"/>
        </w:rPr>
        <w:t>sobre</w:t>
      </w:r>
      <w:r w:rsidRPr="00FF5976">
        <w:rPr>
          <w:rFonts w:cs="Times New Roman"/>
          <w:sz w:val="20"/>
          <w:szCs w:val="20"/>
        </w:rPr>
        <w:t xml:space="preserve"> </w:t>
      </w:r>
      <w:r>
        <w:rPr>
          <w:rFonts w:cs="Times New Roman"/>
          <w:sz w:val="20"/>
          <w:szCs w:val="20"/>
        </w:rPr>
        <w:t>e</w:t>
      </w:r>
      <w:r w:rsidRPr="00FF5976">
        <w:rPr>
          <w:rFonts w:cs="Times New Roman"/>
          <w:sz w:val="20"/>
          <w:szCs w:val="20"/>
        </w:rPr>
        <w:t xml:space="preserve">l diseño de </w:t>
      </w:r>
      <w:r>
        <w:rPr>
          <w:rFonts w:cs="Times New Roman"/>
          <w:sz w:val="20"/>
          <w:szCs w:val="20"/>
        </w:rPr>
        <w:t>envases</w:t>
      </w:r>
      <w:r w:rsidRPr="00FF5976">
        <w:rPr>
          <w:rFonts w:cs="Times New Roman"/>
          <w:sz w:val="20"/>
          <w:szCs w:val="20"/>
        </w:rPr>
        <w:t xml:space="preserve"> en dos Institutos de Educación Secundaria con alumnos de entre 14 y 17 años. </w:t>
      </w:r>
      <w:r w:rsidRPr="00FF5976">
        <w:rPr>
          <w:rFonts w:cs="Times New Roman"/>
          <w:b/>
          <w:bCs/>
          <w:sz w:val="20"/>
          <w:szCs w:val="20"/>
        </w:rPr>
        <w:t xml:space="preserve">Recogida y análisis de datos: </w:t>
      </w:r>
      <w:r>
        <w:rPr>
          <w:rFonts w:cs="Times New Roman"/>
          <w:sz w:val="20"/>
          <w:szCs w:val="20"/>
        </w:rPr>
        <w:t xml:space="preserve">El Modelo está basado en el análisis de informaciones recogidas de textos científicos de Pólya y otros autores, de textos oficiales y manuales escolares de Educación Secundaria y de las experimentaciones realizadas. </w:t>
      </w:r>
      <w:r w:rsidRPr="00063B57">
        <w:rPr>
          <w:rFonts w:cs="Times New Roman"/>
          <w:b/>
          <w:bCs/>
          <w:sz w:val="20"/>
          <w:szCs w:val="20"/>
        </w:rPr>
        <w:t>Resultados</w:t>
      </w:r>
      <w:r w:rsidRPr="00063B57">
        <w:rPr>
          <w:rFonts w:cs="Times New Roman"/>
          <w:sz w:val="20"/>
          <w:szCs w:val="20"/>
        </w:rPr>
        <w:t xml:space="preserve">: </w:t>
      </w:r>
      <w:r w:rsidRPr="00A67B72">
        <w:rPr>
          <w:rFonts w:cs="Times New Roman"/>
          <w:sz w:val="20"/>
          <w:szCs w:val="20"/>
        </w:rPr>
        <w:t>El</w:t>
      </w:r>
      <w:r>
        <w:rPr>
          <w:rFonts w:cs="Times New Roman"/>
          <w:sz w:val="20"/>
          <w:szCs w:val="20"/>
        </w:rPr>
        <w:t xml:space="preserve"> M</w:t>
      </w:r>
      <w:r w:rsidRPr="00A67B72">
        <w:rPr>
          <w:rFonts w:cs="Times New Roman"/>
          <w:sz w:val="20"/>
          <w:szCs w:val="20"/>
        </w:rPr>
        <w:t xml:space="preserve">odelo </w:t>
      </w:r>
      <w:r>
        <w:rPr>
          <w:rFonts w:cs="Times New Roman"/>
          <w:sz w:val="20"/>
          <w:szCs w:val="20"/>
        </w:rPr>
        <w:t>sustenta</w:t>
      </w:r>
      <w:r w:rsidRPr="00A67B72">
        <w:rPr>
          <w:rFonts w:cs="Times New Roman"/>
          <w:sz w:val="20"/>
          <w:szCs w:val="20"/>
        </w:rPr>
        <w:t xml:space="preserve"> </w:t>
      </w:r>
      <w:r>
        <w:rPr>
          <w:rFonts w:cs="Times New Roman"/>
          <w:sz w:val="20"/>
          <w:szCs w:val="20"/>
        </w:rPr>
        <w:t>el estudio</w:t>
      </w:r>
      <w:r w:rsidRPr="00A67B72">
        <w:rPr>
          <w:rFonts w:cs="Times New Roman"/>
          <w:sz w:val="20"/>
          <w:szCs w:val="20"/>
        </w:rPr>
        <w:t xml:space="preserve"> articulad</w:t>
      </w:r>
      <w:r>
        <w:rPr>
          <w:rFonts w:cs="Times New Roman"/>
          <w:sz w:val="20"/>
          <w:szCs w:val="20"/>
        </w:rPr>
        <w:t>o</w:t>
      </w:r>
      <w:r w:rsidRPr="00A67B72">
        <w:rPr>
          <w:rFonts w:cs="Times New Roman"/>
          <w:sz w:val="20"/>
          <w:szCs w:val="20"/>
        </w:rPr>
        <w:t xml:space="preserve"> </w:t>
      </w:r>
      <w:r>
        <w:rPr>
          <w:rFonts w:cs="Times New Roman"/>
          <w:sz w:val="20"/>
          <w:szCs w:val="20"/>
        </w:rPr>
        <w:t xml:space="preserve">de </w:t>
      </w:r>
      <w:r w:rsidRPr="00A67B72">
        <w:rPr>
          <w:rFonts w:cs="Times New Roman"/>
          <w:sz w:val="20"/>
          <w:szCs w:val="20"/>
        </w:rPr>
        <w:t xml:space="preserve">las geometrías bidimensional y tridimensional y permite guiar procesos de estudio tendentes a abordar de manera coherente el problema de la determinación de un sólido </w:t>
      </w:r>
      <w:r>
        <w:rPr>
          <w:rFonts w:cs="Times New Roman"/>
          <w:sz w:val="20"/>
          <w:szCs w:val="20"/>
        </w:rPr>
        <w:t>y</w:t>
      </w:r>
      <w:r w:rsidRPr="00A67B72">
        <w:rPr>
          <w:rFonts w:cs="Times New Roman"/>
          <w:sz w:val="20"/>
          <w:szCs w:val="20"/>
        </w:rPr>
        <w:t xml:space="preserve"> su construcción</w:t>
      </w:r>
      <w:r>
        <w:rPr>
          <w:rFonts w:cs="Times New Roman"/>
          <w:sz w:val="20"/>
          <w:szCs w:val="20"/>
        </w:rPr>
        <w:t xml:space="preserve">. </w:t>
      </w:r>
      <w:r w:rsidRPr="00FD4C88">
        <w:rPr>
          <w:rFonts w:cs="Times New Roman"/>
          <w:b/>
          <w:bCs/>
          <w:sz w:val="20"/>
          <w:szCs w:val="20"/>
        </w:rPr>
        <w:t>Conclusiones</w:t>
      </w:r>
      <w:r>
        <w:rPr>
          <w:rFonts w:cs="Times New Roman"/>
          <w:b/>
          <w:bCs/>
          <w:sz w:val="20"/>
          <w:szCs w:val="20"/>
        </w:rPr>
        <w:t xml:space="preserve">: </w:t>
      </w:r>
      <w:r w:rsidRPr="00063D15">
        <w:rPr>
          <w:rFonts w:cs="Times New Roman"/>
          <w:sz w:val="20"/>
          <w:szCs w:val="20"/>
        </w:rPr>
        <w:t xml:space="preserve">El </w:t>
      </w:r>
      <w:r>
        <w:rPr>
          <w:rFonts w:cs="Times New Roman"/>
          <w:sz w:val="20"/>
          <w:szCs w:val="20"/>
        </w:rPr>
        <w:t>Modelo</w:t>
      </w:r>
      <w:r w:rsidRPr="00063D15">
        <w:rPr>
          <w:rFonts w:cs="Times New Roman"/>
          <w:sz w:val="20"/>
          <w:szCs w:val="20"/>
        </w:rPr>
        <w:t xml:space="preserve"> elaborado contiene cuestiones </w:t>
      </w:r>
      <w:r>
        <w:rPr>
          <w:rFonts w:cs="Times New Roman"/>
          <w:sz w:val="20"/>
          <w:szCs w:val="20"/>
        </w:rPr>
        <w:t>sobre</w:t>
      </w:r>
      <w:r w:rsidRPr="00063D15">
        <w:rPr>
          <w:rFonts w:cs="Times New Roman"/>
          <w:sz w:val="20"/>
          <w:szCs w:val="20"/>
        </w:rPr>
        <w:t xml:space="preserve"> la problemática de la modelización espacio-geométrica que consideramos como la problemática de iniciación a la geometría en la enseñanza secundaria</w:t>
      </w:r>
      <w:r>
        <w:rPr>
          <w:rFonts w:cs="Times New Roman"/>
          <w:sz w:val="20"/>
          <w:szCs w:val="20"/>
        </w:rPr>
        <w:t>.</w:t>
      </w:r>
    </w:p>
    <w:p w14:paraId="5A852D23" w14:textId="3DC99FDE" w:rsidR="00360AC0" w:rsidRDefault="00DB5111" w:rsidP="00360AC0">
      <w:r>
        <w:rPr>
          <w:rFonts w:eastAsia="Times New Roman" w:cs="Times New Roman"/>
          <w:b/>
          <w:bCs/>
          <w:color w:val="111111"/>
          <w:sz w:val="20"/>
          <w:szCs w:val="20"/>
        </w:rPr>
        <w:lastRenderedPageBreak/>
        <w:t>Palabras clave</w:t>
      </w:r>
      <w:r w:rsidR="235DF6B6" w:rsidRPr="235DF6B6">
        <w:rPr>
          <w:rFonts w:eastAsia="Times New Roman" w:cs="Times New Roman"/>
          <w:color w:val="111111"/>
          <w:sz w:val="20"/>
          <w:szCs w:val="20"/>
        </w:rPr>
        <w:t xml:space="preserve">: </w:t>
      </w:r>
      <w:r w:rsidR="00360AC0" w:rsidRPr="00360AC0">
        <w:rPr>
          <w:rFonts w:eastAsia="Times New Roman" w:cs="Times New Roman"/>
          <w:color w:val="111111"/>
          <w:sz w:val="20"/>
          <w:szCs w:val="20"/>
        </w:rPr>
        <w:t>Modelo epistemológico de referencia</w:t>
      </w:r>
      <w:r w:rsidR="00360AC0">
        <w:rPr>
          <w:rFonts w:eastAsia="Times New Roman" w:cs="Times New Roman"/>
          <w:color w:val="111111"/>
          <w:sz w:val="20"/>
          <w:szCs w:val="20"/>
        </w:rPr>
        <w:t>;</w:t>
      </w:r>
      <w:r w:rsidR="00360AC0" w:rsidRPr="00360AC0">
        <w:rPr>
          <w:rFonts w:eastAsia="Times New Roman" w:cs="Times New Roman"/>
          <w:color w:val="111111"/>
          <w:sz w:val="20"/>
          <w:szCs w:val="20"/>
        </w:rPr>
        <w:t xml:space="preserve"> Determinación y construcción de sólidos</w:t>
      </w:r>
      <w:r w:rsidR="00360AC0">
        <w:rPr>
          <w:rFonts w:eastAsia="Times New Roman" w:cs="Times New Roman"/>
          <w:color w:val="111111"/>
          <w:sz w:val="20"/>
          <w:szCs w:val="20"/>
        </w:rPr>
        <w:t>;</w:t>
      </w:r>
      <w:r w:rsidR="00360AC0" w:rsidRPr="00360AC0">
        <w:rPr>
          <w:rFonts w:eastAsia="Times New Roman" w:cs="Times New Roman"/>
          <w:color w:val="111111"/>
          <w:sz w:val="20"/>
          <w:szCs w:val="20"/>
        </w:rPr>
        <w:t xml:space="preserve"> Problema espacial</w:t>
      </w:r>
      <w:r w:rsidR="00360AC0">
        <w:rPr>
          <w:rFonts w:eastAsia="Times New Roman" w:cs="Times New Roman"/>
          <w:color w:val="111111"/>
          <w:sz w:val="20"/>
          <w:szCs w:val="20"/>
        </w:rPr>
        <w:t>;</w:t>
      </w:r>
      <w:r w:rsidR="00360AC0" w:rsidRPr="00360AC0">
        <w:rPr>
          <w:rFonts w:eastAsia="Times New Roman" w:cs="Times New Roman"/>
          <w:color w:val="111111"/>
          <w:sz w:val="20"/>
          <w:szCs w:val="20"/>
        </w:rPr>
        <w:t xml:space="preserve"> Modelización espacio-geométrica</w:t>
      </w:r>
      <w:r w:rsidR="00360AC0">
        <w:rPr>
          <w:rFonts w:eastAsia="Times New Roman" w:cs="Times New Roman"/>
          <w:color w:val="111111"/>
          <w:sz w:val="20"/>
          <w:szCs w:val="20"/>
        </w:rPr>
        <w:t>;</w:t>
      </w:r>
      <w:r w:rsidR="00360AC0" w:rsidRPr="00360AC0">
        <w:rPr>
          <w:rFonts w:eastAsia="Times New Roman" w:cs="Times New Roman"/>
          <w:color w:val="111111"/>
          <w:sz w:val="20"/>
          <w:szCs w:val="20"/>
        </w:rPr>
        <w:t xml:space="preserve"> Técnicas algebraico-funcionales.</w:t>
      </w:r>
    </w:p>
    <w:p w14:paraId="6B24E64E" w14:textId="0FE70099" w:rsidR="002C6323" w:rsidRDefault="002C6323" w:rsidP="002C6323">
      <w:pPr>
        <w:rPr>
          <w:rFonts w:eastAsia="Times New Roman" w:cs="Times New Roman"/>
          <w:b/>
          <w:bCs/>
        </w:rPr>
      </w:pPr>
    </w:p>
    <w:p w14:paraId="2C0E9EBD" w14:textId="4D4CF583" w:rsidR="002C6323" w:rsidRPr="00FB4B16" w:rsidRDefault="002C6323" w:rsidP="002C6323">
      <w:pPr>
        <w:jc w:val="center"/>
        <w:rPr>
          <w:rFonts w:eastAsia="Times New Roman" w:cs="Times New Roman"/>
          <w:b/>
          <w:bCs/>
          <w:sz w:val="20"/>
          <w:szCs w:val="20"/>
          <w:lang w:val="en-US"/>
        </w:rPr>
      </w:pPr>
      <w:r w:rsidRPr="00FB4B16">
        <w:rPr>
          <w:rFonts w:eastAsia="Times New Roman" w:cs="Times New Roman"/>
          <w:b/>
          <w:bCs/>
          <w:sz w:val="20"/>
          <w:szCs w:val="20"/>
          <w:lang w:val="en-US"/>
        </w:rPr>
        <w:t xml:space="preserve">An epistemological model of reference </w:t>
      </w:r>
      <w:r w:rsidR="00A94C1E" w:rsidRPr="00FB4B16">
        <w:rPr>
          <w:rFonts w:eastAsia="Times New Roman" w:cs="Times New Roman"/>
          <w:b/>
          <w:bCs/>
          <w:sz w:val="20"/>
          <w:szCs w:val="20"/>
          <w:lang w:val="en-US"/>
        </w:rPr>
        <w:t>concerning</w:t>
      </w:r>
      <w:r w:rsidR="00613AEE" w:rsidRPr="00FB4B16">
        <w:rPr>
          <w:rFonts w:eastAsia="Times New Roman" w:cs="Times New Roman"/>
          <w:b/>
          <w:bCs/>
          <w:sz w:val="20"/>
          <w:szCs w:val="20"/>
          <w:lang w:val="en-US"/>
        </w:rPr>
        <w:t xml:space="preserve"> </w:t>
      </w:r>
      <w:r w:rsidRPr="00FB4B16">
        <w:rPr>
          <w:rFonts w:eastAsia="Times New Roman" w:cs="Times New Roman"/>
          <w:b/>
          <w:bCs/>
          <w:sz w:val="20"/>
          <w:szCs w:val="20"/>
          <w:lang w:val="en-US"/>
        </w:rPr>
        <w:t>the determination and construction of solids for compulsory secondary education</w:t>
      </w:r>
    </w:p>
    <w:p w14:paraId="32EC22E8" w14:textId="77777777" w:rsidR="002C6323" w:rsidRPr="00FB4B16" w:rsidRDefault="002C6323" w:rsidP="002C6323">
      <w:pPr>
        <w:rPr>
          <w:rFonts w:eastAsia="Times New Roman" w:cs="Times New Roman"/>
          <w:b/>
          <w:bCs/>
          <w:lang w:val="en-US"/>
        </w:rPr>
      </w:pPr>
    </w:p>
    <w:p w14:paraId="31B122B4" w14:textId="00AC5993" w:rsidR="002C6323" w:rsidRPr="00FB4B16" w:rsidRDefault="0006422C" w:rsidP="002C6323">
      <w:pPr>
        <w:rPr>
          <w:szCs w:val="22"/>
          <w:lang w:val="en-US"/>
        </w:rPr>
      </w:pPr>
      <w:r w:rsidRPr="00FB4B16">
        <w:rPr>
          <w:rFonts w:eastAsia="Times New Roman" w:cs="Times New Roman"/>
          <w:b/>
          <w:bCs/>
          <w:lang w:val="en-US"/>
        </w:rPr>
        <w:t>Abstract</w:t>
      </w:r>
    </w:p>
    <w:p w14:paraId="6B998431" w14:textId="7A2506B0" w:rsidR="00FE1372" w:rsidRPr="00381F7F" w:rsidRDefault="001C3854" w:rsidP="00FE1372">
      <w:pPr>
        <w:rPr>
          <w:rFonts w:eastAsia="Times New Roman" w:cs="Times New Roman"/>
          <w:sz w:val="20"/>
          <w:szCs w:val="20"/>
          <w:lang w:val="en-US"/>
        </w:rPr>
      </w:pPr>
      <w:r w:rsidRPr="00FB4B16">
        <w:rPr>
          <w:rFonts w:eastAsia="Times New Roman" w:cs="Times New Roman"/>
          <w:b/>
          <w:sz w:val="20"/>
          <w:szCs w:val="20"/>
          <w:lang w:val="en-US"/>
        </w:rPr>
        <w:t>Background</w:t>
      </w:r>
      <w:r w:rsidR="00FE1372" w:rsidRPr="00FB4B16">
        <w:rPr>
          <w:rFonts w:eastAsia="Times New Roman" w:cs="Times New Roman"/>
          <w:b/>
          <w:sz w:val="20"/>
          <w:szCs w:val="20"/>
          <w:lang w:val="en-US"/>
        </w:rPr>
        <w:t xml:space="preserve">: </w:t>
      </w:r>
      <w:r w:rsidR="00FE1372" w:rsidRPr="00FB4B16">
        <w:rPr>
          <w:rFonts w:eastAsia="Times New Roman" w:cs="Times New Roman"/>
          <w:sz w:val="20"/>
          <w:szCs w:val="20"/>
          <w:lang w:val="en-US"/>
        </w:rPr>
        <w:t xml:space="preserve">In the analysis of the geometric knowledge presented in the Secondary Education curriculum, phenomena such as the separation between 2D and 3D geometry and the weakening of the modeling activity in geometry are evident. Brousseau considers that the construction of figures is a first example of modeling a part of geometry. </w:t>
      </w:r>
      <w:r w:rsidR="00FE1372" w:rsidRPr="00FB4B16">
        <w:rPr>
          <w:rFonts w:eastAsia="Times New Roman" w:cs="Times New Roman"/>
          <w:b/>
          <w:sz w:val="20"/>
          <w:szCs w:val="20"/>
          <w:lang w:val="en-US"/>
        </w:rPr>
        <w:t>Objectives</w:t>
      </w:r>
      <w:r w:rsidR="00FE1372" w:rsidRPr="00FB4B16">
        <w:rPr>
          <w:rFonts w:eastAsia="Times New Roman" w:cs="Times New Roman"/>
          <w:sz w:val="20"/>
          <w:szCs w:val="20"/>
          <w:lang w:val="en-US"/>
        </w:rPr>
        <w:t xml:space="preserve">: To construct an Epistemological Reference Model that makes explicit the conditions that allow to determine the shape and size of a solid and to look for possible techniques that allow to construct it. </w:t>
      </w:r>
      <w:r w:rsidR="00FB4B16" w:rsidRPr="00045758">
        <w:rPr>
          <w:rFonts w:eastAsia="Times New Roman" w:cs="Times New Roman"/>
          <w:b/>
          <w:sz w:val="20"/>
          <w:szCs w:val="20"/>
          <w:lang w:val="en-US"/>
        </w:rPr>
        <w:t>Design</w:t>
      </w:r>
      <w:r w:rsidR="00FE1372" w:rsidRPr="00045758">
        <w:rPr>
          <w:rFonts w:eastAsia="Times New Roman" w:cs="Times New Roman"/>
          <w:sz w:val="20"/>
          <w:szCs w:val="20"/>
          <w:lang w:val="en-US"/>
        </w:rPr>
        <w:t>:</w:t>
      </w:r>
      <w:r w:rsidR="00FE1372" w:rsidRPr="00FB4B16">
        <w:rPr>
          <w:rFonts w:eastAsia="Times New Roman" w:cs="Times New Roman"/>
          <w:sz w:val="20"/>
          <w:szCs w:val="20"/>
          <w:lang w:val="en-US"/>
        </w:rPr>
        <w:t xml:space="preserve"> theoretical research in the framework of the Anthropological Theory of Didactics. </w:t>
      </w:r>
      <w:r w:rsidR="00FE1372" w:rsidRPr="00FB4B16">
        <w:rPr>
          <w:rFonts w:eastAsia="Times New Roman" w:cs="Times New Roman"/>
          <w:b/>
          <w:sz w:val="20"/>
          <w:szCs w:val="20"/>
          <w:lang w:val="en-US"/>
        </w:rPr>
        <w:t>Setting and Participants</w:t>
      </w:r>
      <w:r w:rsidR="00FE1372" w:rsidRPr="00FB4B16">
        <w:rPr>
          <w:rFonts w:eastAsia="Times New Roman" w:cs="Times New Roman"/>
          <w:sz w:val="20"/>
          <w:szCs w:val="20"/>
          <w:lang w:val="en-US"/>
        </w:rPr>
        <w:t xml:space="preserve">: The Model built is the result of several works carried out in the last three years: analysis of school texts and design, implementation and analysis of a study and research path on the design of containers in two Secondary Schools with students between 14 and 17 years old. </w:t>
      </w:r>
      <w:r w:rsidR="00FE1372" w:rsidRPr="00FB4B16">
        <w:rPr>
          <w:rFonts w:eastAsia="Times New Roman" w:cs="Times New Roman"/>
          <w:b/>
          <w:sz w:val="20"/>
          <w:szCs w:val="20"/>
          <w:lang w:val="en-US"/>
        </w:rPr>
        <w:t>Data collection and analysis</w:t>
      </w:r>
      <w:r w:rsidR="00FE1372" w:rsidRPr="00FB4B16">
        <w:rPr>
          <w:rFonts w:eastAsia="Times New Roman" w:cs="Times New Roman"/>
          <w:sz w:val="20"/>
          <w:szCs w:val="20"/>
          <w:lang w:val="en-US"/>
        </w:rPr>
        <w:t xml:space="preserve">: The Model is based on the analysis of information collected from scientific texts by Pólya and other authors, from official texts and school textbooks of Secondary Education and from the experiments carried out. </w:t>
      </w:r>
      <w:r w:rsidR="00FE1372" w:rsidRPr="00FB4B16">
        <w:rPr>
          <w:rFonts w:eastAsia="Times New Roman" w:cs="Times New Roman"/>
          <w:b/>
          <w:sz w:val="20"/>
          <w:szCs w:val="20"/>
          <w:lang w:val="en-US"/>
        </w:rPr>
        <w:t>Results</w:t>
      </w:r>
      <w:r w:rsidR="00FE1372" w:rsidRPr="00FB4B16">
        <w:rPr>
          <w:rFonts w:eastAsia="Times New Roman" w:cs="Times New Roman"/>
          <w:sz w:val="20"/>
          <w:szCs w:val="20"/>
          <w:lang w:val="en-US"/>
        </w:rPr>
        <w:t xml:space="preserve">: The Model supports the articulated study of two-dimensional and three-dimensional geometries and allows guiding study processes aimed at coherently approaching the problem of determining a solid and its </w:t>
      </w:r>
      <w:r w:rsidR="00FE1372" w:rsidRPr="00381F7F">
        <w:rPr>
          <w:rFonts w:eastAsia="Times New Roman" w:cs="Times New Roman"/>
          <w:sz w:val="20"/>
          <w:szCs w:val="20"/>
          <w:lang w:val="en-US"/>
        </w:rPr>
        <w:t xml:space="preserve">construction. </w:t>
      </w:r>
      <w:r w:rsidR="00FE1372" w:rsidRPr="00381F7F">
        <w:rPr>
          <w:rFonts w:eastAsia="Times New Roman" w:cs="Times New Roman"/>
          <w:b/>
          <w:sz w:val="20"/>
          <w:szCs w:val="20"/>
          <w:lang w:val="en-US"/>
        </w:rPr>
        <w:t>Conclusions</w:t>
      </w:r>
      <w:r w:rsidR="00FE1372" w:rsidRPr="00381F7F">
        <w:rPr>
          <w:rFonts w:eastAsia="Times New Roman" w:cs="Times New Roman"/>
          <w:sz w:val="20"/>
          <w:szCs w:val="20"/>
          <w:lang w:val="en-US"/>
        </w:rPr>
        <w:t>: The elaborated Model contains questions on the problem of spati</w:t>
      </w:r>
      <w:r w:rsidR="00FB4B16" w:rsidRPr="00381F7F">
        <w:rPr>
          <w:rFonts w:eastAsia="Times New Roman" w:cs="Times New Roman"/>
          <w:sz w:val="20"/>
          <w:szCs w:val="20"/>
          <w:lang w:val="en-US"/>
        </w:rPr>
        <w:t>al</w:t>
      </w:r>
      <w:r w:rsidR="00FE1372" w:rsidRPr="00381F7F">
        <w:rPr>
          <w:rFonts w:eastAsia="Times New Roman" w:cs="Times New Roman"/>
          <w:sz w:val="20"/>
          <w:szCs w:val="20"/>
          <w:lang w:val="en-US"/>
        </w:rPr>
        <w:t>-geometric modeling that we consider as the problem of initiation to geometry in secondary education.</w:t>
      </w:r>
    </w:p>
    <w:p w14:paraId="076C605F" w14:textId="2F5B86E9" w:rsidR="002C6323" w:rsidRPr="00FB4B16" w:rsidRDefault="002C6323" w:rsidP="002C6323">
      <w:pPr>
        <w:rPr>
          <w:lang w:val="en-US"/>
        </w:rPr>
      </w:pPr>
      <w:r w:rsidRPr="00381F7F">
        <w:rPr>
          <w:rFonts w:eastAsia="Times New Roman" w:cs="Times New Roman"/>
          <w:b/>
          <w:bCs/>
          <w:color w:val="111111"/>
          <w:sz w:val="20"/>
          <w:szCs w:val="20"/>
          <w:lang w:val="en-US"/>
        </w:rPr>
        <w:t>Keywords</w:t>
      </w:r>
      <w:r w:rsidRPr="00381F7F">
        <w:rPr>
          <w:rFonts w:eastAsia="Times New Roman" w:cs="Times New Roman"/>
          <w:color w:val="111111"/>
          <w:sz w:val="20"/>
          <w:szCs w:val="20"/>
          <w:lang w:val="en-US"/>
        </w:rPr>
        <w:t>: Epistemological reference model; Determination and construction of solids; Spatial problem; Spati</w:t>
      </w:r>
      <w:r w:rsidR="00FB4B16" w:rsidRPr="00381F7F">
        <w:rPr>
          <w:rFonts w:eastAsia="Times New Roman" w:cs="Times New Roman"/>
          <w:color w:val="111111"/>
          <w:sz w:val="20"/>
          <w:szCs w:val="20"/>
          <w:lang w:val="en-US"/>
        </w:rPr>
        <w:t>al</w:t>
      </w:r>
      <w:r w:rsidRPr="00381F7F">
        <w:rPr>
          <w:rFonts w:eastAsia="Times New Roman" w:cs="Times New Roman"/>
          <w:color w:val="111111"/>
          <w:sz w:val="20"/>
          <w:szCs w:val="20"/>
          <w:lang w:val="en-US"/>
        </w:rPr>
        <w:t>-geometric modeling; Algebraic-functional techniques.</w:t>
      </w:r>
      <w:r w:rsidRPr="00FB4B16">
        <w:rPr>
          <w:rFonts w:eastAsia="Times New Roman" w:cs="Times New Roman"/>
          <w:color w:val="111111"/>
          <w:sz w:val="20"/>
          <w:szCs w:val="20"/>
          <w:lang w:val="en-US"/>
        </w:rPr>
        <w:t xml:space="preserve"> </w:t>
      </w:r>
    </w:p>
    <w:p w14:paraId="2F187D54" w14:textId="2F8470A6" w:rsidR="235DF6B6" w:rsidRPr="00FB4B16" w:rsidRDefault="235DF6B6" w:rsidP="235DF6B6">
      <w:pPr>
        <w:jc w:val="center"/>
        <w:rPr>
          <w:rFonts w:eastAsia="Times New Roman" w:cs="Times New Roman"/>
          <w:b/>
          <w:bCs/>
          <w:sz w:val="20"/>
          <w:szCs w:val="20"/>
          <w:lang w:val="en-US"/>
        </w:rPr>
      </w:pPr>
    </w:p>
    <w:p w14:paraId="1449C93A" w14:textId="77777777" w:rsidR="00994860" w:rsidRPr="00E268CA" w:rsidRDefault="00994860" w:rsidP="00994860">
      <w:pPr>
        <w:jc w:val="center"/>
        <w:rPr>
          <w:sz w:val="20"/>
          <w:szCs w:val="20"/>
          <w:lang w:val="pt-BR"/>
        </w:rPr>
      </w:pPr>
      <w:r w:rsidRPr="00E268CA">
        <w:rPr>
          <w:rFonts w:eastAsia="Times New Roman" w:cs="Times New Roman"/>
          <w:b/>
          <w:bCs/>
          <w:sz w:val="20"/>
          <w:szCs w:val="20"/>
          <w:lang w:val="pt-BR"/>
        </w:rPr>
        <w:t>Um modelo epistemológico de referência para a identificação e construção de sólidos para o ensino secundário obrigatório</w:t>
      </w:r>
    </w:p>
    <w:p w14:paraId="6DB96100" w14:textId="77777777" w:rsidR="00994860" w:rsidRPr="00CA0E8A" w:rsidRDefault="00994860" w:rsidP="00994860">
      <w:pPr>
        <w:rPr>
          <w:rFonts w:cs="Times New Roman"/>
          <w:szCs w:val="22"/>
          <w:lang w:val="pt-BR"/>
        </w:rPr>
      </w:pPr>
    </w:p>
    <w:p w14:paraId="7BCB4045" w14:textId="77777777" w:rsidR="00994860" w:rsidRPr="00CA0E8A" w:rsidRDefault="00994860" w:rsidP="00994860">
      <w:pPr>
        <w:rPr>
          <w:szCs w:val="22"/>
        </w:rPr>
      </w:pPr>
      <w:r w:rsidRPr="00CA0E8A">
        <w:rPr>
          <w:rFonts w:eastAsia="Times New Roman" w:cs="Times New Roman"/>
          <w:b/>
          <w:bCs/>
        </w:rPr>
        <w:t>RESUMO</w:t>
      </w:r>
    </w:p>
    <w:p w14:paraId="3F6DA043" w14:textId="77777777" w:rsidR="00994860" w:rsidRPr="00CA0E8A" w:rsidRDefault="00994860" w:rsidP="00994860">
      <w:pPr>
        <w:rPr>
          <w:lang w:val="pt-BR"/>
        </w:rPr>
      </w:pPr>
      <w:r w:rsidRPr="00CA0E8A">
        <w:rPr>
          <w:rFonts w:eastAsia="Times New Roman" w:cs="Times New Roman"/>
          <w:b/>
          <w:sz w:val="20"/>
          <w:szCs w:val="20"/>
          <w:lang w:val="pt-BR"/>
        </w:rPr>
        <w:lastRenderedPageBreak/>
        <w:t>Contexto</w:t>
      </w:r>
      <w:r w:rsidRPr="00CA0E8A">
        <w:rPr>
          <w:rFonts w:eastAsia="Times New Roman" w:cs="Times New Roman"/>
          <w:sz w:val="20"/>
          <w:szCs w:val="20"/>
          <w:lang w:val="pt-BR"/>
        </w:rPr>
        <w:t xml:space="preserve">: Na análise dos conhecimentos geométricos propostos no currículo do Ensino Secundário, fenómenos como a separação entre geometrias 2D e 3D e o enfraquecimento da atividade de modelagem em geometria tornam-se aparentes. Brousseau considera que a construção de figuras é um primeiro exemplo de modelagem de uma parte da geometria. </w:t>
      </w:r>
      <w:r w:rsidRPr="00CA0E8A">
        <w:rPr>
          <w:rFonts w:eastAsia="Times New Roman" w:cs="Times New Roman"/>
          <w:b/>
          <w:bCs/>
          <w:sz w:val="20"/>
          <w:szCs w:val="20"/>
          <w:lang w:val="pt-BR"/>
        </w:rPr>
        <w:t>Objetivos</w:t>
      </w:r>
      <w:r w:rsidRPr="00CA0E8A">
        <w:rPr>
          <w:rFonts w:eastAsia="Times New Roman" w:cs="Times New Roman"/>
          <w:sz w:val="20"/>
          <w:szCs w:val="20"/>
          <w:lang w:val="pt-BR"/>
        </w:rPr>
        <w:t xml:space="preserve">: Construir um Modelo de Referência Epistemológico que explicite as condições que permitem determinar a forma e o tamanho de um sólido e descobrir que técnicas possíveis tornam possível a sua construção. </w:t>
      </w:r>
      <w:r w:rsidRPr="00CA0E8A">
        <w:rPr>
          <w:rFonts w:eastAsia="Times New Roman" w:cs="Times New Roman"/>
          <w:b/>
          <w:bCs/>
          <w:sz w:val="20"/>
          <w:szCs w:val="20"/>
          <w:lang w:val="pt-BR"/>
        </w:rPr>
        <w:t>Metodologia</w:t>
      </w:r>
      <w:r w:rsidRPr="00CA0E8A">
        <w:rPr>
          <w:rFonts w:eastAsia="Times New Roman" w:cs="Times New Roman"/>
          <w:sz w:val="20"/>
          <w:szCs w:val="20"/>
          <w:lang w:val="pt-BR"/>
        </w:rPr>
        <w:t xml:space="preserve">: Investigação teórica no âmbito da Teoria Antropológica da Didática. </w:t>
      </w:r>
      <w:r w:rsidRPr="00CA0E8A">
        <w:rPr>
          <w:rFonts w:eastAsia="Times New Roman" w:cs="Times New Roman"/>
          <w:b/>
          <w:bCs/>
          <w:sz w:val="20"/>
          <w:szCs w:val="20"/>
          <w:lang w:val="pt-BR"/>
        </w:rPr>
        <w:t>Ambiente e participantes</w:t>
      </w:r>
      <w:r w:rsidRPr="00CA0E8A">
        <w:rPr>
          <w:rFonts w:eastAsia="Times New Roman" w:cs="Times New Roman"/>
          <w:sz w:val="20"/>
          <w:szCs w:val="20"/>
          <w:lang w:val="pt-BR"/>
        </w:rPr>
        <w:t xml:space="preserve">: O Modelo construído é o resultado de vários trabalhos realizados nos últimos três anos: análise de textos escolares e concepção, implementação e análise de um percurso de estudo e investigação sobre a concepção de contentores em duas Escolas Secundárias com alunos entre os 14 e os 17 anos de idade. </w:t>
      </w:r>
      <w:r w:rsidRPr="00CA0E8A">
        <w:rPr>
          <w:rFonts w:eastAsia="Times New Roman" w:cs="Times New Roman"/>
          <w:b/>
          <w:bCs/>
          <w:sz w:val="20"/>
          <w:szCs w:val="20"/>
          <w:lang w:val="pt-BR"/>
        </w:rPr>
        <w:t>Recolha e análise de dados</w:t>
      </w:r>
      <w:r w:rsidRPr="00CA0E8A">
        <w:rPr>
          <w:rFonts w:eastAsia="Times New Roman" w:cs="Times New Roman"/>
          <w:sz w:val="20"/>
          <w:szCs w:val="20"/>
          <w:lang w:val="pt-BR"/>
        </w:rPr>
        <w:t xml:space="preserve">: O Modelo baseia-se na análise de informação coletada de textos científicos por </w:t>
      </w:r>
      <w:proofErr w:type="spellStart"/>
      <w:r w:rsidRPr="00CA0E8A">
        <w:rPr>
          <w:rFonts w:eastAsia="Times New Roman" w:cs="Times New Roman"/>
          <w:sz w:val="20"/>
          <w:szCs w:val="20"/>
          <w:lang w:val="pt-BR"/>
        </w:rPr>
        <w:t>Pólya</w:t>
      </w:r>
      <w:proofErr w:type="spellEnd"/>
      <w:r w:rsidRPr="00CA0E8A">
        <w:rPr>
          <w:rFonts w:eastAsia="Times New Roman" w:cs="Times New Roman"/>
          <w:sz w:val="20"/>
          <w:szCs w:val="20"/>
          <w:lang w:val="pt-BR"/>
        </w:rPr>
        <w:t xml:space="preserve"> e outros autores, de textos oficiais e manuais escolares do Ensino Secundário e das experiências realizadas. </w:t>
      </w:r>
      <w:r w:rsidRPr="00CA0E8A">
        <w:rPr>
          <w:rFonts w:eastAsia="Times New Roman" w:cs="Times New Roman"/>
          <w:b/>
          <w:bCs/>
          <w:sz w:val="20"/>
          <w:szCs w:val="20"/>
          <w:lang w:val="pt-BR"/>
        </w:rPr>
        <w:t>Resultados</w:t>
      </w:r>
      <w:r w:rsidRPr="00CA0E8A">
        <w:rPr>
          <w:rFonts w:eastAsia="Times New Roman" w:cs="Times New Roman"/>
          <w:sz w:val="20"/>
          <w:szCs w:val="20"/>
          <w:lang w:val="pt-BR"/>
        </w:rPr>
        <w:t xml:space="preserve">: O Modelo apoia o estudo articulado de geometrias bidimensionais e tridimensionais e permite orientar processos de estudo tendentes a abordar de forma coerente o problema da determinação de um sólido e da sua construção. </w:t>
      </w:r>
      <w:r w:rsidRPr="00CA0E8A">
        <w:rPr>
          <w:rFonts w:eastAsia="Times New Roman" w:cs="Times New Roman"/>
          <w:b/>
          <w:bCs/>
          <w:sz w:val="20"/>
          <w:szCs w:val="20"/>
          <w:lang w:val="pt-BR"/>
        </w:rPr>
        <w:t>Conclusões</w:t>
      </w:r>
      <w:r w:rsidRPr="00CA0E8A">
        <w:rPr>
          <w:rFonts w:eastAsia="Times New Roman" w:cs="Times New Roman"/>
          <w:sz w:val="20"/>
          <w:szCs w:val="20"/>
          <w:lang w:val="pt-BR"/>
        </w:rPr>
        <w:t>: O Modelo desenvolvido contém questões sobre o problema da modelagem espacial-geométrica que consideramos ser o problema da iniciação à geometria no ensino secundário.</w:t>
      </w:r>
    </w:p>
    <w:p w14:paraId="6BA9F44B" w14:textId="77777777" w:rsidR="00994860" w:rsidRPr="00CA0E8A" w:rsidRDefault="00994860" w:rsidP="00994860">
      <w:pPr>
        <w:rPr>
          <w:rFonts w:eastAsia="Times New Roman" w:cs="Times New Roman"/>
          <w:sz w:val="20"/>
          <w:szCs w:val="20"/>
          <w:lang w:val="pt-BR"/>
        </w:rPr>
      </w:pPr>
      <w:r w:rsidRPr="00CA0E8A">
        <w:rPr>
          <w:rFonts w:eastAsia="Times New Roman" w:cs="Times New Roman"/>
          <w:b/>
          <w:bCs/>
          <w:sz w:val="20"/>
          <w:szCs w:val="20"/>
          <w:lang w:val="pt-BR"/>
        </w:rPr>
        <w:t>Palavras-chave</w:t>
      </w:r>
      <w:r w:rsidRPr="00CA0E8A">
        <w:rPr>
          <w:rFonts w:eastAsia="Times New Roman" w:cs="Times New Roman"/>
          <w:sz w:val="20"/>
          <w:szCs w:val="20"/>
          <w:lang w:val="pt-BR"/>
        </w:rPr>
        <w:t>: Modelo epistemológico de referência; Determinação e construção de sólidos; Problema espacial; Modelagem espaço-geométrica; Técnicas algébrico-funcionais.</w:t>
      </w:r>
    </w:p>
    <w:p w14:paraId="21AC4154" w14:textId="77777777" w:rsidR="008E3341" w:rsidRPr="00EA589D" w:rsidRDefault="008E3341" w:rsidP="235DF6B6">
      <w:pPr>
        <w:rPr>
          <w:lang w:val="pt-BR"/>
        </w:rPr>
      </w:pPr>
    </w:p>
    <w:p w14:paraId="1D846DF5" w14:textId="02C10A3F" w:rsidR="235DF6B6" w:rsidRPr="005E3CF9" w:rsidRDefault="235DF6B6" w:rsidP="005E3CF9">
      <w:pPr>
        <w:pStyle w:val="Ttulo1"/>
      </w:pPr>
      <w:r w:rsidRPr="005E3CF9">
        <w:t>INTRODUC</w:t>
      </w:r>
      <w:r w:rsidR="00F72DDD" w:rsidRPr="005E3CF9">
        <w:t xml:space="preserve">CIÓN Y </w:t>
      </w:r>
      <w:r w:rsidR="001B78AA" w:rsidRPr="005E3CF9">
        <w:t>ANTECEDENTES</w:t>
      </w:r>
    </w:p>
    <w:p w14:paraId="1C63B933" w14:textId="77FEF7E9" w:rsidR="00352A2C" w:rsidRPr="00763D3D" w:rsidRDefault="00763D3D" w:rsidP="00F93EBE">
      <w:r w:rsidRPr="00763D3D">
        <w:t xml:space="preserve">El nuevo currículo oficial español, que se acaba de promulgar, considera que uno de los saberes básicos a enseñar es el </w:t>
      </w:r>
      <w:r w:rsidRPr="00763D3D">
        <w:rPr>
          <w:i/>
          <w:iCs/>
        </w:rPr>
        <w:t>sentido espacial</w:t>
      </w:r>
      <w:r w:rsidRPr="00763D3D">
        <w:t>. En el documento publicado (MEFP, 2022, p. 156) se explicita que:</w:t>
      </w:r>
    </w:p>
    <w:p w14:paraId="243E525A" w14:textId="77777777" w:rsidR="004A711C" w:rsidRDefault="00763D3D" w:rsidP="00F93EBE">
      <w:pPr>
        <w:pStyle w:val="Citao"/>
      </w:pPr>
      <w:r w:rsidRPr="00763D3D">
        <w:t>El sentido espacial aborda la comprensión de los aspectos geométricos de nuestro mundo. Registrar y representar formas y figuras, reconocer sus propiedades, identificar relaciones entre ellas, ubicarlas, describir sus movimientos, elaborar o descubrir imágenes de ellas, clasificarlas y razonar con ellas son elementos fundamentales de la enseñanza y aprendizaje de la geometría.</w:t>
      </w:r>
    </w:p>
    <w:p w14:paraId="20130FD3" w14:textId="0DADFFDF" w:rsidR="00763D3D" w:rsidRPr="00763D3D" w:rsidRDefault="00763D3D" w:rsidP="00783089">
      <w:r w:rsidRPr="00763D3D">
        <w:t xml:space="preserve">Guy Brousseau (2000) señala que la construcción de figuras es un primer ejemplo de modelización de una parte de la geometría elemental, y </w:t>
      </w:r>
      <w:proofErr w:type="spellStart"/>
      <w:r w:rsidRPr="00763D3D">
        <w:t>Perrin-Glorian</w:t>
      </w:r>
      <w:proofErr w:type="spellEnd"/>
      <w:r w:rsidRPr="00763D3D">
        <w:t xml:space="preserve"> y </w:t>
      </w:r>
      <w:proofErr w:type="spellStart"/>
      <w:r w:rsidRPr="00763D3D">
        <w:t>Godin</w:t>
      </w:r>
      <w:proofErr w:type="spellEnd"/>
      <w:r w:rsidRPr="00763D3D">
        <w:t xml:space="preserve">, (2014) consideran que la geometría plana consiste en el estudio de las formas y figuras planas. Nosotros postulamos que la razón de </w:t>
      </w:r>
      <w:r w:rsidRPr="00763D3D">
        <w:lastRenderedPageBreak/>
        <w:t xml:space="preserve">ser del estudio de la geometría elemental en 3D consiste fundamentalmente en el estudio de </w:t>
      </w:r>
      <w:r w:rsidRPr="00763D3D">
        <w:rPr>
          <w:i/>
          <w:iCs/>
        </w:rPr>
        <w:t>la determinación y construcción de sólidos</w:t>
      </w:r>
      <w:r w:rsidRPr="00763D3D">
        <w:t xml:space="preserve">. En </w:t>
      </w:r>
      <w:r w:rsidR="00FE5817">
        <w:t>Autor</w:t>
      </w:r>
      <w:r w:rsidR="004A76B4">
        <w:t xml:space="preserve"> (</w:t>
      </w:r>
      <w:r w:rsidR="00FE5817">
        <w:t>año</w:t>
      </w:r>
      <w:r w:rsidRPr="00763D3D">
        <w:t xml:space="preserve">), hemos indagado sobre la búsqueda de las razones a las que debería responder el estudio de la geometría en la enseñanza secundaria, en particular la geometría 2D y 3D y hemos diseñado e implementado dos </w:t>
      </w:r>
      <w:r w:rsidRPr="00763D3D">
        <w:rPr>
          <w:i/>
          <w:iCs/>
        </w:rPr>
        <w:t>recorridos de estudio e investigación</w:t>
      </w:r>
      <w:r w:rsidRPr="00763D3D">
        <w:t xml:space="preserve"> (REI) en torno al diseño y construcción de envases. Nuestro objetivo era poner de manifiesto que el estudio de la determinación y construcción de sólidos puede dar sentido a los saberes propuestos en el currículo de la </w:t>
      </w:r>
      <w:r w:rsidRPr="000F432B">
        <w:t>ESO</w:t>
      </w:r>
      <w:r w:rsidR="003102E2" w:rsidRPr="000F432B">
        <w:t xml:space="preserve"> y</w:t>
      </w:r>
      <w:r w:rsidRPr="000F432B">
        <w:t xml:space="preserve"> permite</w:t>
      </w:r>
      <w:r w:rsidRPr="00763D3D">
        <w:t xml:space="preserve"> articular no sólo las geometrías 2D y 3D sino también la geometría escolar con otros saberes básicos que propone el currículo, como el álgebra y las funciones.</w:t>
      </w:r>
    </w:p>
    <w:p w14:paraId="1652E833" w14:textId="77777777" w:rsidR="00763D3D" w:rsidRPr="00763D3D" w:rsidRDefault="00763D3D" w:rsidP="00107A0B">
      <w:pPr>
        <w:rPr>
          <w:lang w:eastAsia="es-CO"/>
        </w:rPr>
      </w:pPr>
      <w:r w:rsidRPr="00763D3D">
        <w:t xml:space="preserve">Una de las tareas más importantes del profesor de matemáticas de Educación Secundaria consiste en diseñar e implementar procesos de estudio en el aula en torno a una determinada organización matemática (OM) propuesta en el currículo (Chevallard, 2002). Desde de la </w:t>
      </w:r>
      <w:r w:rsidRPr="00763D3D">
        <w:rPr>
          <w:i/>
          <w:iCs/>
        </w:rPr>
        <w:t>teoría antropológica de lo didáctico</w:t>
      </w:r>
      <w:r w:rsidRPr="00763D3D">
        <w:t xml:space="preserve"> (TAD), se considera que para poder llevar a cabo de forma eficaz dicha tarea docente es necesario que el profesor se cuestione el saber que debe enseñar, es decir, que sea capaz de determinar algunas de sus posibles razones de ser. </w:t>
      </w:r>
      <w:r w:rsidRPr="00763D3D">
        <w:rPr>
          <w:lang w:eastAsia="es-CO"/>
        </w:rPr>
        <w:t xml:space="preserve">Pero, dicha tarea, que consiste en encontrar algunas </w:t>
      </w:r>
      <w:r w:rsidRPr="00763D3D">
        <w:t>de las cuestiones a las que dicho saber responde,</w:t>
      </w:r>
      <w:r w:rsidRPr="00763D3D">
        <w:rPr>
          <w:lang w:eastAsia="es-CO"/>
        </w:rPr>
        <w:t xml:space="preserve"> constituye un encargo complejo que los profesores por sí solos difícilmente pueden abordar, pues se trata de un problema de investigación didáctica para el que no disponen de los medios suficientes.</w:t>
      </w:r>
    </w:p>
    <w:p w14:paraId="05A29824" w14:textId="350B5B5E" w:rsidR="00763D3D" w:rsidRPr="00763D3D" w:rsidRDefault="00763D3D" w:rsidP="00107A0B">
      <w:pPr>
        <w:rPr>
          <w:lang w:eastAsia="es-CO"/>
        </w:rPr>
      </w:pPr>
      <w:r w:rsidRPr="00763D3D">
        <w:rPr>
          <w:lang w:eastAsia="es-CO"/>
        </w:rPr>
        <w:t xml:space="preserve">En </w:t>
      </w:r>
      <w:r w:rsidR="00395FB1">
        <w:rPr>
          <w:lang w:eastAsia="es-CO"/>
        </w:rPr>
        <w:t>Autor</w:t>
      </w:r>
      <w:r w:rsidR="00807905">
        <w:rPr>
          <w:lang w:eastAsia="es-CO"/>
        </w:rPr>
        <w:t>, et al.</w:t>
      </w:r>
      <w:r w:rsidR="00395FB1">
        <w:rPr>
          <w:lang w:eastAsia="es-CO"/>
        </w:rPr>
        <w:t xml:space="preserve"> (año)</w:t>
      </w:r>
      <w:r w:rsidR="00074455">
        <w:rPr>
          <w:lang w:eastAsia="es-CO"/>
        </w:rPr>
        <w:t>,</w:t>
      </w:r>
      <w:r w:rsidRPr="00763D3D">
        <w:rPr>
          <w:lang w:eastAsia="es-CO"/>
        </w:rPr>
        <w:t xml:space="preserve"> se mostró que las </w:t>
      </w:r>
      <w:r w:rsidRPr="00763D3D">
        <w:rPr>
          <w:i/>
          <w:iCs/>
          <w:lang w:eastAsia="es-CO"/>
        </w:rPr>
        <w:t xml:space="preserve">tareas didácticas </w:t>
      </w:r>
      <w:r w:rsidRPr="00763D3D">
        <w:rPr>
          <w:lang w:eastAsia="es-CO"/>
        </w:rPr>
        <w:t xml:space="preserve">que debe implementar el profesor junto a sus alumnos para volver a construir una OM, las </w:t>
      </w:r>
      <w:r w:rsidRPr="00763D3D">
        <w:rPr>
          <w:i/>
          <w:iCs/>
          <w:lang w:eastAsia="es-CO"/>
        </w:rPr>
        <w:t>técnicas didácticas</w:t>
      </w:r>
      <w:r w:rsidRPr="00763D3D">
        <w:rPr>
          <w:lang w:eastAsia="es-CO"/>
        </w:rPr>
        <w:t xml:space="preserve"> que utiliza para desarrollar dichas tareas, y el </w:t>
      </w:r>
      <w:r w:rsidRPr="00763D3D">
        <w:rPr>
          <w:i/>
          <w:iCs/>
          <w:lang w:eastAsia="es-CO"/>
        </w:rPr>
        <w:t>discurso tecnológico-teórico</w:t>
      </w:r>
      <w:r w:rsidRPr="00763D3D">
        <w:rPr>
          <w:lang w:eastAsia="es-CO"/>
        </w:rPr>
        <w:t xml:space="preserve"> que le permite interpretar y justificar dichas técnicas, dependen esencialmente de la estructura de los componentes “matemáticos” y de la razón de ser asignada a dicha OM.</w:t>
      </w:r>
    </w:p>
    <w:p w14:paraId="49B3459D" w14:textId="77777777" w:rsidR="00763D3D" w:rsidRPr="00763D3D" w:rsidRDefault="00763D3D" w:rsidP="00107A0B">
      <w:r w:rsidRPr="00763D3D">
        <w:rPr>
          <w:lang w:eastAsia="es-CO"/>
        </w:rPr>
        <w:t>Uno de los objetivos de este trabajo es, aparte de proporcionar algunas de las razones de ser de la geometría en 3D, explicitar y elaborar una propuesta que clarifique lo que interpretamos por</w:t>
      </w:r>
      <w:r w:rsidRPr="00763D3D">
        <w:rPr>
          <w:i/>
          <w:iCs/>
          <w:lang w:eastAsia="es-CO"/>
        </w:rPr>
        <w:t xml:space="preserve"> determinación y construcción de sólidos</w:t>
      </w:r>
      <w:r w:rsidRPr="00763D3D">
        <w:rPr>
          <w:lang w:eastAsia="es-CO"/>
        </w:rPr>
        <w:t>.</w:t>
      </w:r>
    </w:p>
    <w:p w14:paraId="7D827C23" w14:textId="5659448C" w:rsidR="00763D3D" w:rsidRPr="00763D3D" w:rsidRDefault="00763D3D" w:rsidP="00107A0B">
      <w:pPr>
        <w:rPr>
          <w:lang w:val="es-ES_tradnl"/>
        </w:rPr>
      </w:pPr>
      <w:r w:rsidRPr="00763D3D">
        <w:t xml:space="preserve">Por otro lado, cuando el investigador en didáctica de las matemáticas se propone realizar el análisis praxeológico de una OM </w:t>
      </w:r>
      <w:r w:rsidRPr="00763D3D">
        <w:rPr>
          <w:lang w:val="es-ES_tradnl"/>
        </w:rPr>
        <w:t>debe tener en cuenta los datos empíricos procedentes de las diferentes etapas del proceso de transposición didáctica.</w:t>
      </w:r>
      <w:r w:rsidRPr="00763D3D">
        <w:t xml:space="preserve"> </w:t>
      </w:r>
      <w:r w:rsidRPr="00763D3D">
        <w:rPr>
          <w:lang w:val="es-ES_tradnl"/>
        </w:rPr>
        <w:t xml:space="preserve">Para ello, debe elaborar un modelo epistemológico </w:t>
      </w:r>
      <w:r w:rsidRPr="00763D3D">
        <w:rPr>
          <w:lang w:val="es-ES_tradnl"/>
        </w:rPr>
        <w:lastRenderedPageBreak/>
        <w:t>propio “de referencia” que le permite escapar a las restricciones provenientes de las diferentes instituciones en las que vive dicha OM (</w:t>
      </w:r>
      <w:r w:rsidR="00A00509" w:rsidRPr="00BE39BD">
        <w:rPr>
          <w:lang w:val="es-ES_tradnl"/>
        </w:rPr>
        <w:fldChar w:fldCharType="begin"/>
      </w:r>
      <w:r w:rsidR="00A00509" w:rsidRPr="00BE39BD">
        <w:rPr>
          <w:lang w:val="es-ES_tradnl"/>
        </w:rPr>
        <w:instrText xml:space="preserve"> REF _Ref102813792 \h </w:instrText>
      </w:r>
      <w:r w:rsidR="00BE39BD" w:rsidRPr="00BE39BD">
        <w:rPr>
          <w:lang w:val="es-ES_tradnl"/>
        </w:rPr>
        <w:instrText xml:space="preserve"> \* MERGEFORMAT </w:instrText>
      </w:r>
      <w:r w:rsidR="00A00509" w:rsidRPr="00BE39BD">
        <w:rPr>
          <w:lang w:val="es-ES_tradnl"/>
        </w:rPr>
      </w:r>
      <w:r w:rsidR="00A00509" w:rsidRPr="00BE39BD">
        <w:rPr>
          <w:lang w:val="es-ES_tradnl"/>
        </w:rPr>
        <w:fldChar w:fldCharType="separate"/>
      </w:r>
      <w:r w:rsidR="00A00509" w:rsidRPr="00BE39BD">
        <w:t xml:space="preserve">Figura </w:t>
      </w:r>
      <w:r w:rsidR="00A00509" w:rsidRPr="00BE39BD">
        <w:rPr>
          <w:noProof/>
        </w:rPr>
        <w:t>1</w:t>
      </w:r>
      <w:r w:rsidR="00A00509" w:rsidRPr="00BE39BD">
        <w:rPr>
          <w:lang w:val="es-ES_tradnl"/>
        </w:rPr>
        <w:fldChar w:fldCharType="end"/>
      </w:r>
      <w:r w:rsidRPr="00763D3D">
        <w:rPr>
          <w:lang w:val="es-ES_tradnl"/>
        </w:rPr>
        <w:t>).</w:t>
      </w:r>
    </w:p>
    <w:p w14:paraId="24C9BB01" w14:textId="2584588E" w:rsidR="007B472E" w:rsidRDefault="007B472E" w:rsidP="007B472E">
      <w:pPr>
        <w:pStyle w:val="Legenda"/>
        <w:rPr>
          <w:b/>
          <w:bCs/>
        </w:rPr>
      </w:pPr>
      <w:bookmarkStart w:id="2" w:name="_Ref102813792"/>
      <w:r w:rsidRPr="007B472E">
        <w:rPr>
          <w:b/>
          <w:bCs/>
        </w:rPr>
        <w:t xml:space="preserve">Figura </w:t>
      </w:r>
      <w:r w:rsidRPr="007B472E">
        <w:rPr>
          <w:b/>
          <w:bCs/>
        </w:rPr>
        <w:fldChar w:fldCharType="begin"/>
      </w:r>
      <w:r w:rsidRPr="007B472E">
        <w:rPr>
          <w:b/>
          <w:bCs/>
        </w:rPr>
        <w:instrText xml:space="preserve"> SEQ Figura \* ARABIC </w:instrText>
      </w:r>
      <w:r w:rsidRPr="007B472E">
        <w:rPr>
          <w:b/>
          <w:bCs/>
        </w:rPr>
        <w:fldChar w:fldCharType="separate"/>
      </w:r>
      <w:r w:rsidR="001F1E38">
        <w:rPr>
          <w:b/>
          <w:bCs/>
          <w:noProof/>
        </w:rPr>
        <w:t>1</w:t>
      </w:r>
      <w:r w:rsidRPr="007B472E">
        <w:rPr>
          <w:b/>
          <w:bCs/>
        </w:rPr>
        <w:fldChar w:fldCharType="end"/>
      </w:r>
      <w:bookmarkEnd w:id="2"/>
      <w:r>
        <w:rPr>
          <w:b/>
          <w:bCs/>
        </w:rPr>
        <w:t>.</w:t>
      </w:r>
    </w:p>
    <w:p w14:paraId="662DBD7E" w14:textId="77777777" w:rsidR="00CD51ED" w:rsidRDefault="007B472E" w:rsidP="00CD51ED">
      <w:pPr>
        <w:pStyle w:val="Legenda"/>
      </w:pPr>
      <w:r w:rsidRPr="007B472E">
        <w:t>Las diferentes instituciones del proceso de transposición didáctica de una OM</w:t>
      </w:r>
    </w:p>
    <w:p w14:paraId="7B9E59DD" w14:textId="56F3E890" w:rsidR="00352A2C" w:rsidRDefault="00CD51ED" w:rsidP="00106537">
      <w:pPr>
        <w:jc w:val="center"/>
        <w:rPr>
          <w:lang w:val="es-ES_tradnl"/>
        </w:rPr>
      </w:pPr>
      <w:r>
        <w:rPr>
          <w:noProof/>
          <w:lang w:val="pt-BR" w:eastAsia="pt-BR" w:bidi="ar-SA"/>
        </w:rPr>
        <w:drawing>
          <wp:inline distT="0" distB="0" distL="0" distR="0" wp14:anchorId="384BDB45" wp14:editId="4638563D">
            <wp:extent cx="4151263" cy="695300"/>
            <wp:effectExtent l="0"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rotWithShape="1">
                    <a:blip r:embed="rId8" cstate="print">
                      <a:extLst>
                        <a:ext uri="{28A0092B-C50C-407E-A947-70E740481C1C}">
                          <a14:useLocalDpi xmlns:a14="http://schemas.microsoft.com/office/drawing/2010/main" val="0"/>
                        </a:ext>
                      </a:extLst>
                    </a:blip>
                    <a:srcRect l="2814" t="42274" r="2499" b="29533"/>
                    <a:stretch/>
                  </pic:blipFill>
                  <pic:spPr bwMode="auto">
                    <a:xfrm>
                      <a:off x="0" y="0"/>
                      <a:ext cx="4154661" cy="695869"/>
                    </a:xfrm>
                    <a:prstGeom prst="rect">
                      <a:avLst/>
                    </a:prstGeom>
                    <a:ln>
                      <a:noFill/>
                    </a:ln>
                    <a:extLst>
                      <a:ext uri="{53640926-AAD7-44D8-BBD7-CCE9431645EC}">
                        <a14:shadowObscured xmlns:a14="http://schemas.microsoft.com/office/drawing/2010/main"/>
                      </a:ext>
                    </a:extLst>
                  </pic:spPr>
                </pic:pic>
              </a:graphicData>
            </a:graphic>
          </wp:inline>
        </w:drawing>
      </w:r>
    </w:p>
    <w:p w14:paraId="3274278A" w14:textId="77777777" w:rsidR="00352A2C" w:rsidRDefault="00352A2C" w:rsidP="00763D3D">
      <w:pPr>
        <w:jc w:val="center"/>
        <w:rPr>
          <w:rFonts w:cs="Times New Roman"/>
          <w:i/>
          <w:iCs/>
          <w:szCs w:val="22"/>
          <w:lang w:val="es-ES_tradnl"/>
        </w:rPr>
      </w:pPr>
    </w:p>
    <w:p w14:paraId="522A40A0" w14:textId="77777777" w:rsidR="00763D3D" w:rsidRPr="00763D3D" w:rsidRDefault="00763D3D" w:rsidP="0070573E">
      <w:r w:rsidRPr="00763D3D">
        <w:t xml:space="preserve">Para construir dicho modelo epistemológico de referencia (MER), el investigador debe elaborar una reconstrucción racional de la OM en cuestión. El análisis didáctico del proceso de transposición didáctica que sufre dicha OM permitirá poder detectar algunos de los </w:t>
      </w:r>
      <w:r w:rsidRPr="00763D3D">
        <w:rPr>
          <w:i/>
          <w:iCs/>
        </w:rPr>
        <w:t>fenómenos didácticos</w:t>
      </w:r>
      <w:r w:rsidRPr="00763D3D">
        <w:t xml:space="preserve"> presentes en dicho proceso (Bosch &amp; Gascón, 2005).  </w:t>
      </w:r>
    </w:p>
    <w:p w14:paraId="39FE1204" w14:textId="619900F8" w:rsidR="00763D3D" w:rsidRPr="00763D3D" w:rsidRDefault="00763D3D" w:rsidP="0070573E">
      <w:pPr>
        <w:rPr>
          <w:rFonts w:cs="Times New Roman"/>
          <w:szCs w:val="22"/>
        </w:rPr>
      </w:pPr>
      <w:r w:rsidRPr="00763D3D">
        <w:rPr>
          <w:rFonts w:cs="Times New Roman"/>
          <w:szCs w:val="22"/>
        </w:rPr>
        <w:t xml:space="preserve">En este trabajo presentamos una posible reconstrucción de una OM en torno a </w:t>
      </w:r>
      <w:r w:rsidRPr="00763D3D">
        <w:rPr>
          <w:rFonts w:cs="Times New Roman"/>
          <w:i/>
          <w:iCs/>
          <w:szCs w:val="22"/>
        </w:rPr>
        <w:t>la determinación y construcción de solidos</w:t>
      </w:r>
      <w:r w:rsidRPr="00763D3D">
        <w:rPr>
          <w:rFonts w:cs="Times New Roman"/>
          <w:szCs w:val="22"/>
        </w:rPr>
        <w:t xml:space="preserve"> para la ESO, a partir de la búsqueda de posibles soluciones a un problema espacial sobre el diseño y elaboración de envases. Dicha reconstrucción, que desempeñará la función de MER, será elaborad</w:t>
      </w:r>
      <w:r w:rsidR="005B76F7">
        <w:rPr>
          <w:rFonts w:cs="Times New Roman"/>
          <w:szCs w:val="22"/>
        </w:rPr>
        <w:t>a</w:t>
      </w:r>
      <w:r w:rsidRPr="00763D3D">
        <w:rPr>
          <w:rFonts w:cs="Times New Roman"/>
          <w:szCs w:val="22"/>
        </w:rPr>
        <w:t xml:space="preserve"> mediante un proceso de modelización espacio-geométrica. Obtendremos así, una interpretación de la geometría elemental de los sólidos que asigna a su estudio una nueva razón de ser, alternativa a la establecida por el modelo epistemológico dominante en la ESO. Esta reconstrucción nos sirve, por una parte, para hacer frente al fenómeno didáctico de la </w:t>
      </w:r>
      <w:r w:rsidRPr="00763D3D">
        <w:rPr>
          <w:rFonts w:cs="Times New Roman"/>
          <w:i/>
          <w:iCs/>
          <w:szCs w:val="22"/>
        </w:rPr>
        <w:t>separación entre las geometrías bidimensional y tridimensional</w:t>
      </w:r>
      <w:r w:rsidRPr="00763D3D">
        <w:rPr>
          <w:rFonts w:cs="Times New Roman"/>
          <w:szCs w:val="22"/>
        </w:rPr>
        <w:t xml:space="preserve"> y, por otra, para diseñar, experimentar y analizar futuros REI en los que se articulen, junto a las técnicas específicas de la modelización espacio-geométrica, los modelos algebraico-funcionales como instrumentos para determinar y construir los sólidos en la ESO.</w:t>
      </w:r>
    </w:p>
    <w:p w14:paraId="6305FFC3" w14:textId="68530376" w:rsidR="00763D3D" w:rsidRDefault="00763D3D" w:rsidP="0070573E">
      <w:pPr>
        <w:rPr>
          <w:rFonts w:cs="Times New Roman"/>
          <w:szCs w:val="22"/>
        </w:rPr>
      </w:pPr>
      <w:r w:rsidRPr="00763D3D">
        <w:rPr>
          <w:rFonts w:cs="Times New Roman"/>
          <w:szCs w:val="22"/>
        </w:rPr>
        <w:t xml:space="preserve">En lo que sigue, siempre desde el punto de vista de la TAD: (1) describiremos el marco teórico explicitando las características generales de los MER; (2) expondremos las líneas generales de nuestro problema de investigación; (3) presentaremos un MER en torno a la determinación y construcción de sólidos, a partir de la búsqueda de posibles vías de solución, mediante la modelización espacio-geométrica, al problema espacial que supone el diseño y construcción de un envase; y (4) formularemos algunas </w:t>
      </w:r>
      <w:r w:rsidRPr="00763D3D">
        <w:rPr>
          <w:rFonts w:cs="Times New Roman"/>
          <w:szCs w:val="22"/>
        </w:rPr>
        <w:lastRenderedPageBreak/>
        <w:t>conclusiones relativas a las funciones epistemológicas y didácticas del MER construido.</w:t>
      </w:r>
    </w:p>
    <w:p w14:paraId="53B8BECD" w14:textId="77777777" w:rsidR="008E3341" w:rsidRPr="00763D3D" w:rsidRDefault="008E3341" w:rsidP="0070573E">
      <w:pPr>
        <w:rPr>
          <w:rFonts w:cs="Times New Roman"/>
          <w:szCs w:val="22"/>
        </w:rPr>
      </w:pPr>
    </w:p>
    <w:p w14:paraId="3AFED2C9" w14:textId="437C1E0F" w:rsidR="00944DD4" w:rsidRPr="00944DD4" w:rsidRDefault="00944DD4" w:rsidP="00944DD4">
      <w:pPr>
        <w:pStyle w:val="Ttulo1"/>
        <w:rPr>
          <w:b w:val="0"/>
        </w:rPr>
      </w:pPr>
      <w:r w:rsidRPr="00944DD4">
        <w:t>MARCO TEÓRICO Y CARACTERÍSTICAS GENERALES DE LOS MER</w:t>
      </w:r>
    </w:p>
    <w:p w14:paraId="49CE5CB8" w14:textId="77777777" w:rsidR="00EA04BB" w:rsidRDefault="00EA04BB" w:rsidP="00EA04BB">
      <w:r>
        <w:t xml:space="preserve">Según el esquema heurístico presentado por Gascón </w:t>
      </w:r>
      <w:r>
        <w:fldChar w:fldCharType="begin" w:fldLock="1"/>
      </w:r>
      <w:r>
        <w:instrText>ADDIN CSL_CITATION {"citationItems":[{"id":"ITEM-1","itemData":{"ISSN":"16652436","abstract":"In order to illustrate the purpose of the Didactics of Mathematics study, we suggest a heuristic pattern for the development of didactic problems demonstrated with elemental algebra. The pattern is structured around three basic or fundamental dimensions of said problems when they are constructed in the field of the Anthropological Theory of Didactics: epistemologica!, which puts mathematics at the heart of the problem; economic-institutional, which depersonalizes the didactic set of problems and delimits the minimum unit of analysis of the processes of study, and ecological, which emphasizes the conditions required so that the institutionalized study of mathematics is possible and reveals obvious restrictions of any kind that have an effect on said study.","author":[{"dropping-particle":"","family":"Gascón","given":"Josep","non-dropping-particle":"","parse-names":false,"suffix":""}],"container-title":"Revista Latinoamericana de Investigación en Matemática Educativa","id":"ITEM-1","issue":"2","issued":{"date-parts":[["2011"]]},"note":"La referencia pasó sin problema. Ya la he probado en un documento de texto.","page":"203-231","title":"Las tres dimensiones fundamentales de un problema didáctico. el caso del álgebra elemental","type":"article-journal","volume":"14"},"uris":["http://www.mendeley.com/documents/?uuid=29624727-bab1-450e-b6ba-864e1bbf6403"]}],"mendeley":{"formattedCitation":"(Gascón, 2011)","manualFormatting":"(2011)","plainTextFormattedCitation":"(Gascón, 2011)","previouslyFormattedCitation":"(Gascón, 2011)"},"properties":{"noteIndex":0},"schema":"https://github.com/citation-style-language/schema/raw/master/csl-citation.json"}</w:instrText>
      </w:r>
      <w:r>
        <w:fldChar w:fldCharType="separate"/>
      </w:r>
      <w:r w:rsidRPr="00D22B0F">
        <w:rPr>
          <w:noProof/>
        </w:rPr>
        <w:t>(2011)</w:t>
      </w:r>
      <w:r>
        <w:fldChar w:fldCharType="end"/>
      </w:r>
      <w:r>
        <w:t xml:space="preserve">, todo problema didáctico-matemático definido con las herramientas de la TAD suele partir de un problema docente considerado como incompleto, al que “es necesario añadirle, al menos, la dimensión </w:t>
      </w:r>
      <w:r>
        <w:rPr>
          <w:i/>
          <w:iCs/>
        </w:rPr>
        <w:t>epistemológica</w:t>
      </w:r>
      <w:r>
        <w:t xml:space="preserve"> para que pueda ser considerado como problema” (p. 206). Dicha dimensión</w:t>
      </w:r>
      <w:r w:rsidRPr="00662D21">
        <w:rPr>
          <w:rStyle w:val="Refdenotaderodap"/>
        </w:rPr>
        <w:footnoteReference w:id="1"/>
      </w:r>
      <w:r>
        <w:t xml:space="preserve">, </w:t>
      </w:r>
      <w:r w:rsidRPr="00665667">
        <w:t xml:space="preserve">se traduce en un MER que </w:t>
      </w:r>
      <w:r w:rsidRPr="006642A8">
        <w:t>constituye una hipótesis científica</w:t>
      </w:r>
      <w:r w:rsidRPr="00665667">
        <w:t xml:space="preserve"> sobre la cual definir las OM implicadas en el problema didáctico que se está definiendo. Así, será posible establecer:</w:t>
      </w:r>
    </w:p>
    <w:p w14:paraId="0CC7C8CD" w14:textId="77777777" w:rsidR="00EA04BB" w:rsidRDefault="00EA04BB" w:rsidP="00FD68A4">
      <w:pPr>
        <w:pStyle w:val="Citao"/>
      </w:pPr>
      <w:r w:rsidRPr="00B96D2C">
        <w:t xml:space="preserve">[…] la </w:t>
      </w:r>
      <w:r w:rsidRPr="00FD68A4">
        <w:rPr>
          <w:i/>
          <w:iCs w:val="0"/>
        </w:rPr>
        <w:t>amplitud del ámbito matemático</w:t>
      </w:r>
      <w:r w:rsidRPr="00B96D2C">
        <w:t xml:space="preserve"> más adecuada para plantear el problema didáctico en cuestión. […] Los </w:t>
      </w:r>
      <w:r w:rsidRPr="00FD68A4">
        <w:rPr>
          <w:i/>
          <w:iCs w:val="0"/>
        </w:rPr>
        <w:t>fenómenos didácticos que serán visibles</w:t>
      </w:r>
      <w:r w:rsidRPr="00B96D2C">
        <w:t xml:space="preserve"> para el investigador. […] Los </w:t>
      </w:r>
      <w:r w:rsidRPr="00FD68A4">
        <w:rPr>
          <w:i/>
          <w:iCs w:val="0"/>
        </w:rPr>
        <w:t>tipos de problemas de investigación que se pueden plantear</w:t>
      </w:r>
      <w:r w:rsidRPr="00B96D2C">
        <w:t xml:space="preserve">. […] [y], las </w:t>
      </w:r>
      <w:r w:rsidRPr="00FD68A4">
        <w:rPr>
          <w:i/>
          <w:iCs w:val="0"/>
        </w:rPr>
        <w:t>explicaciones tentativas que se podrán proponer</w:t>
      </w:r>
      <w:r w:rsidRPr="00B96D2C">
        <w:t>.</w:t>
      </w:r>
      <w:r>
        <w:t xml:space="preserve"> (</w:t>
      </w:r>
      <w:r w:rsidRPr="00F40CC8">
        <w:rPr>
          <w:noProof/>
        </w:rPr>
        <w:t>Gascón</w:t>
      </w:r>
      <w:r>
        <w:t>, 2011, p. 209)</w:t>
      </w:r>
    </w:p>
    <w:p w14:paraId="676F1EA9" w14:textId="77777777" w:rsidR="00EA04BB" w:rsidRDefault="00EA04BB" w:rsidP="00EA04BB">
      <w:r w:rsidRPr="00441197">
        <w:t xml:space="preserve">Dicho MER se </w:t>
      </w:r>
      <w:r w:rsidRPr="006642A8">
        <w:t>puede</w:t>
      </w:r>
      <w:r w:rsidRPr="00441197">
        <w:t xml:space="preserve"> </w:t>
      </w:r>
      <w:r>
        <w:t>formular</w:t>
      </w:r>
      <w:r w:rsidRPr="00441197">
        <w:t xml:space="preserve"> en términos de cuestiones y respuestas que conducen a la construcción de una OM relativamente completa </w:t>
      </w:r>
      <w:r w:rsidRPr="006642A8">
        <w:t>(Fonseca, 2004)</w:t>
      </w:r>
      <w:r>
        <w:t>,</w:t>
      </w:r>
      <w:r w:rsidRPr="00441197">
        <w:t xml:space="preserve"> </w:t>
      </w:r>
      <w:r w:rsidRPr="006642A8">
        <w:t>construida a partir de una serie</w:t>
      </w:r>
      <w:r w:rsidRPr="00441197">
        <w:t xml:space="preserve"> de ampliaciones y completaciones derivadas de una OM puntual. Es decir, </w:t>
      </w:r>
      <w:r w:rsidRPr="006642A8">
        <w:t>mediante un proceso</w:t>
      </w:r>
      <w:r w:rsidRPr="00441197">
        <w:t xml:space="preserve"> que parte de un tipo de tarea específica, </w:t>
      </w:r>
      <w:r w:rsidRPr="006642A8">
        <w:t>que</w:t>
      </w:r>
      <w:r w:rsidRPr="00441197">
        <w:t xml:space="preserve"> puede llevarse a cabo </w:t>
      </w:r>
      <w:r>
        <w:t>mediante</w:t>
      </w:r>
      <w:r w:rsidRPr="006642A8">
        <w:t xml:space="preserve"> una técnica</w:t>
      </w:r>
      <w:r>
        <w:t xml:space="preserve"> concreta</w:t>
      </w:r>
      <w:r w:rsidRPr="006642A8">
        <w:t>,</w:t>
      </w:r>
      <w:r w:rsidRPr="00441197">
        <w:t xml:space="preserve"> y que </w:t>
      </w:r>
      <w:r w:rsidRPr="006642A8">
        <w:t>puede dar lugar a praxeologías matemáticas sucesivamente más amplias y complejas (locales, regionales y globales) (Chevallard, 1999).</w:t>
      </w:r>
      <w:r w:rsidRPr="00441197">
        <w:t xml:space="preserve"> </w:t>
      </w:r>
    </w:p>
    <w:p w14:paraId="2CF83075" w14:textId="77777777" w:rsidR="00EA04BB" w:rsidRPr="006642A8" w:rsidRDefault="00EA04BB" w:rsidP="00DB56BB">
      <w:pPr>
        <w:pStyle w:val="Citao"/>
        <w:rPr>
          <w:rFonts w:cs="Times New Roman"/>
          <w:sz w:val="28"/>
        </w:rPr>
      </w:pPr>
      <w:r w:rsidRPr="00DB56BB">
        <w:rPr>
          <w:rStyle w:val="CitaoChar"/>
        </w:rPr>
        <w:t>Las organizaciones matemáticas se componen de un bloque práctico o “saber-hacer” formado por los tipos de tareas y las técnicas [</w:t>
      </w:r>
      <w:r w:rsidRPr="00DB56BB">
        <w:rPr>
          <w:rStyle w:val="CitaoChar"/>
          <w:rFonts w:ascii="Symbol" w:hAnsi="Symbol"/>
        </w:rPr>
        <w:t></w:t>
      </w:r>
      <w:r w:rsidRPr="00DB56BB">
        <w:rPr>
          <w:rStyle w:val="CitaoChar"/>
        </w:rPr>
        <w:t>/</w:t>
      </w:r>
      <w:r w:rsidRPr="00DB56BB">
        <w:rPr>
          <w:rStyle w:val="CitaoChar"/>
          <w:rFonts w:ascii="Symbol" w:hAnsi="Symbol"/>
        </w:rPr>
        <w:t></w:t>
      </w:r>
      <w:r w:rsidRPr="00DB56BB">
        <w:rPr>
          <w:rStyle w:val="CitaoChar"/>
        </w:rPr>
        <w:t>] y por un bloque teórico o “saber” formado por el discurso tecnológico-teórico [</w:t>
      </w:r>
      <w:r w:rsidRPr="00DB56BB">
        <w:rPr>
          <w:rStyle w:val="CitaoChar"/>
          <w:rFonts w:ascii="Symbol" w:hAnsi="Symbol"/>
        </w:rPr>
        <w:t></w:t>
      </w:r>
      <w:r w:rsidRPr="00DB56BB">
        <w:rPr>
          <w:rStyle w:val="CitaoChar"/>
        </w:rPr>
        <w:t>/</w:t>
      </w:r>
      <w:r w:rsidRPr="00DB56BB">
        <w:rPr>
          <w:rStyle w:val="CitaoChar"/>
          <w:rFonts w:ascii="Symbol" w:hAnsi="Symbol"/>
        </w:rPr>
        <w:t></w:t>
      </w:r>
      <w:r w:rsidRPr="00DB56BB">
        <w:rPr>
          <w:rStyle w:val="CitaoChar"/>
        </w:rPr>
        <w:t xml:space="preserve">] que describe, explica y justifica la práctica. </w:t>
      </w:r>
      <w:r w:rsidRPr="00DB56BB">
        <w:rPr>
          <w:rStyle w:val="CitaoChar"/>
        </w:rPr>
        <w:fldChar w:fldCharType="begin" w:fldLock="1"/>
      </w:r>
      <w:r w:rsidRPr="00DB56BB">
        <w:rPr>
          <w:rStyle w:val="CitaoChar"/>
        </w:rPr>
        <w:instrText>ADDIN CSL_CITATION {"citationItems":[{"id":"ITEM-1","itemData":{"author":[{"dropping-particle":"","family":"Bosch","given":"Marianna","non-dropping-particle":"","parse-names":false,"suffix":""},{"dropping-particle":"","family":"Fonseca","given":"Cecilio","non-dropping-particle":"","parse-names":false,"suffix":""},{"dropping-particle":"","family":"Gascón","given":"Josep","non-dropping-particle":"","parse-names":false,"suffix":""}],"container-title":"Recherches en Didactique des Mathématiques","id":"ITEM-1","issued":{"date-parts":[["2004"]]},"note":"Referencia ok","page":"1-47","title":"Incompletitud de las organizaciones matemáticas locales en las instituciones escolares","type":"article-journal","volume":"24"},"uris":["http://www.mendeley.com/documents/?uuid=44d24f6a-a8a1-463d-b69c-44740d9a69a6"]}],"mendeley":{"formattedCitation":"(Bosch et al., 2004)","plainTextFormattedCitation":"(Bosch et al., 2004)","previouslyFormattedCitation":"(Bosch et al., 2004)"},"properties":{"noteIndex":0},"schema":"https://github.com/citation-style-language/schema/raw/master/csl-citation.json"}</w:instrText>
      </w:r>
      <w:r w:rsidRPr="00DB56BB">
        <w:rPr>
          <w:rStyle w:val="CitaoChar"/>
        </w:rPr>
        <w:fldChar w:fldCharType="separate"/>
      </w:r>
      <w:r w:rsidRPr="00DB56BB">
        <w:rPr>
          <w:rStyle w:val="CitaoChar"/>
        </w:rPr>
        <w:t>(Bosch et al., 2004, p.211)</w:t>
      </w:r>
      <w:r w:rsidRPr="00DB56BB">
        <w:rPr>
          <w:rStyle w:val="CitaoChar"/>
        </w:rPr>
        <w:fldChar w:fldCharType="end"/>
      </w:r>
      <w:r>
        <w:t>.</w:t>
      </w:r>
    </w:p>
    <w:p w14:paraId="4867C408" w14:textId="77777777" w:rsidR="00EA04BB" w:rsidRDefault="00EA04BB" w:rsidP="00EA04BB">
      <w:r w:rsidRPr="00441197">
        <w:lastRenderedPageBreak/>
        <w:t xml:space="preserve">Cabe </w:t>
      </w:r>
      <w:r w:rsidRPr="006642A8">
        <w:t>anotar que los componentes de una praxeología</w:t>
      </w:r>
      <w:r>
        <w:t xml:space="preserve"> u OM matemática</w:t>
      </w:r>
      <w:r w:rsidRPr="006642A8">
        <w:t xml:space="preserve"> (</w:t>
      </w:r>
      <w:r w:rsidRPr="006642A8">
        <w:rPr>
          <w:i/>
        </w:rPr>
        <w:t>tipos de tareas</w:t>
      </w:r>
      <w:r w:rsidRPr="006642A8">
        <w:t xml:space="preserve">, </w:t>
      </w:r>
      <w:r w:rsidRPr="006642A8">
        <w:rPr>
          <w:i/>
        </w:rPr>
        <w:t>técnicas</w:t>
      </w:r>
      <w:r w:rsidRPr="006642A8">
        <w:t xml:space="preserve">, </w:t>
      </w:r>
      <w:r w:rsidRPr="006642A8">
        <w:rPr>
          <w:i/>
        </w:rPr>
        <w:t>tecnologías</w:t>
      </w:r>
      <w:r w:rsidRPr="006642A8">
        <w:t xml:space="preserve"> y </w:t>
      </w:r>
      <w:r w:rsidRPr="006642A8">
        <w:rPr>
          <w:i/>
        </w:rPr>
        <w:t>teorías</w:t>
      </w:r>
      <w:r w:rsidRPr="006642A8">
        <w:t>) son relativos a la institución de referencia, en nuestro caso la institución de la ESO.</w:t>
      </w:r>
      <w:r>
        <w:t xml:space="preserve">  </w:t>
      </w:r>
      <w:r w:rsidRPr="00E66FDE">
        <w:t xml:space="preserve">Por tanto, “lo que es considerado como un tipo de tareas (o una técnica, o una tecnología o una teoría) en una institución no tiene por qué serlo en otra” </w:t>
      </w:r>
      <w:r w:rsidRPr="00E66FDE">
        <w:fldChar w:fldCharType="begin" w:fldLock="1"/>
      </w:r>
      <w:r w:rsidRPr="00E66FDE">
        <w:instrText>ADDIN CSL_CITATION {"citationItems":[{"id":"ITEM-1","itemData":{"author":[{"dropping-particle":"","family":"Bosch","given":"Marianna","non-dropping-particle":"","parse-names":false,"suffix":""},{"dropping-particle":"","family":"Fonseca","given":"Cecilio","non-dropping-particle":"","parse-names":false,"suffix":""},{"dropping-particle":"","family":"Gascón","given":"Josep","non-dropping-particle":"","parse-names":false,"suffix":""}],"container-title":"Recherches en Didactique des Mathématiques","id":"ITEM-1","issued":{"date-parts":[["2004"]]},"note":"Referencia ok","page":"1-47","title":"Incompletitud de las organizaciones matemáticas locales en las instituciones escolares","type":"article-journal","volume":"24"},"uris":["http://www.mendeley.com/documents/?uuid=44d24f6a-a8a1-463d-b69c-44740d9a69a6"]}],"mendeley":{"formattedCitation":"(Bosch et al., 2004)","manualFormatting":"(Bosch et al., 2004, p. 8)","plainTextFormattedCitation":"(Bosch et al., 2004)","previouslyFormattedCitation":"(Bosch et al., 2004)"},"properties":{"noteIndex":0},"schema":"https://github.com/citation-style-language/schema/raw/master/csl-citation.json"}</w:instrText>
      </w:r>
      <w:r w:rsidRPr="00E66FDE">
        <w:fldChar w:fldCharType="separate"/>
      </w:r>
      <w:r w:rsidRPr="00E66FDE">
        <w:rPr>
          <w:noProof/>
        </w:rPr>
        <w:t>(Bosch et al., 2004, p. 212)</w:t>
      </w:r>
      <w:r w:rsidRPr="00E66FDE">
        <w:fldChar w:fldCharType="end"/>
      </w:r>
      <w:r w:rsidRPr="00E66FDE">
        <w:t xml:space="preserve">. </w:t>
      </w:r>
    </w:p>
    <w:p w14:paraId="4FD84457" w14:textId="77777777" w:rsidR="00EA04BB" w:rsidRDefault="00EA04BB" w:rsidP="00EA04BB">
      <w:r>
        <w:t xml:space="preserve">En este trabajo nos limitaremos a estudiar y desarrollar la </w:t>
      </w:r>
      <w:r w:rsidRPr="00083EAA">
        <w:rPr>
          <w:i/>
          <w:iCs/>
        </w:rPr>
        <w:t>dimensión epistemológica</w:t>
      </w:r>
      <w:r>
        <w:t xml:space="preserve"> del problema didáctico o de investigación didáctica que explicaremos a continuación. Ello consistirá en la construcción de un MER que consideraremos como un modelo o hipótesis provisional en el que nos apoyaremos para interpretar y describir determinado ámbito de las matemáticas y para “utilizarlo como referencia para analizar los hechos didáctico-matemáticos” </w:t>
      </w:r>
      <w:r>
        <w:fldChar w:fldCharType="begin" w:fldLock="1"/>
      </w:r>
      <w:r>
        <w:instrText>ADDIN CSL_CITATION {"citationItems":[{"id":"ITEM-1","itemData":{"ISSN":"16652436","abstract":"In order to illustrate the purpose of the Didactics of Mathematics study, we suggest a heuristic pattern for the development of didactic problems demonstrated with elemental algebra. The pattern is structured around three basic or fundamental dimensions of said problems when they are constructed in the field of the Anthropological Theory of Didactics: epistemologica!, which puts mathematics at the heart of the problem; economic-institutional, which depersonalizes the didactic set of problems and delimits the minimum unit of analysis of the processes of study, and ecological, which emphasizes the conditions required so that the institutionalized study of mathematics is possible and reveals obvious restrictions of any kind that have an effect on said study.","author":[{"dropping-particle":"","family":"Gascón","given":"Josep","non-dropping-particle":"","parse-names":false,"suffix":""}],"container-title":"Revista Latinoamericana de Investigación en Matemática Educativa","id":"ITEM-1","issue":"2","issued":{"date-parts":[["2011"]]},"note":"La referencia pasó sin problema. Ya la he probado en un documento de texto.","page":"203-231","title":"Las tres dimensiones fundamentales de un problema didáctico. el caso del álgebra elemental","type":"article-journal","volume":"14"},"uris":["http://www.mendeley.com/documents/?uuid=29624727-bab1-450e-b6ba-864e1bbf6403"]}],"mendeley":{"formattedCitation":"(Gascón, 2011)","manualFormatting":"(Gascón, 2011, p. 208)","plainTextFormattedCitation":"(Gascón, 2011)","previouslyFormattedCitation":"(Gascón, 2011)"},"properties":{"noteIndex":0},"schema":"https://github.com/citation-style-language/schema/raw/master/csl-citation.json"}</w:instrText>
      </w:r>
      <w:r>
        <w:fldChar w:fldCharType="separate"/>
      </w:r>
      <w:r w:rsidRPr="002B23CC">
        <w:rPr>
          <w:noProof/>
        </w:rPr>
        <w:t>(Gascón, 2011</w:t>
      </w:r>
      <w:r>
        <w:rPr>
          <w:noProof/>
          <w:szCs w:val="20"/>
        </w:rPr>
        <w:t>, p. 208</w:t>
      </w:r>
      <w:r w:rsidRPr="002B23CC">
        <w:rPr>
          <w:noProof/>
        </w:rPr>
        <w:t>)</w:t>
      </w:r>
      <w:r>
        <w:fldChar w:fldCharType="end"/>
      </w:r>
      <w:r>
        <w:rPr>
          <w:szCs w:val="20"/>
        </w:rPr>
        <w:t>.</w:t>
      </w:r>
      <w:r>
        <w:t xml:space="preserve"> </w:t>
      </w:r>
    </w:p>
    <w:p w14:paraId="36C2AADA" w14:textId="2049DBC3" w:rsidR="00EA04BB" w:rsidRDefault="00EA04BB" w:rsidP="00EA04BB">
      <w:r>
        <w:t xml:space="preserve">Para la construcción del MER nos hemos inspirado: 1) en los trabajos sobre la OM ya desarrollados en los textos </w:t>
      </w:r>
      <w:r w:rsidRPr="003A5E3C">
        <w:t xml:space="preserve">del saber sabio, relacionados con las matemáticas y otras </w:t>
      </w:r>
      <w:r w:rsidRPr="000F432B">
        <w:t>disciplinas científica</w:t>
      </w:r>
      <w:r w:rsidR="00B95A6C" w:rsidRPr="000F432B">
        <w:t>s</w:t>
      </w:r>
      <w:r w:rsidRPr="000F432B">
        <w:t>;</w:t>
      </w:r>
      <w:r w:rsidRPr="003A5E3C">
        <w:t xml:space="preserve"> 2) en los documentos curriculares</w:t>
      </w:r>
      <w:r>
        <w:t xml:space="preserve"> oficiales relativos a la OM objeto de estudio; 3) en las propuestas de OD que aparecen en los textos escolares en torno a dicha OM; 4) en las posibilidades que ofrecen los </w:t>
      </w:r>
      <w:r w:rsidR="000112D5">
        <w:t>software</w:t>
      </w:r>
      <w:r>
        <w:t xml:space="preserve"> de </w:t>
      </w:r>
      <w:r w:rsidR="000112D5">
        <w:t>modelización</w:t>
      </w:r>
      <w:r>
        <w:t xml:space="preserve"> </w:t>
      </w:r>
      <w:r w:rsidR="000112D5">
        <w:t xml:space="preserve">geométrica </w:t>
      </w:r>
      <w:r>
        <w:t xml:space="preserve">como GeoGebra, </w:t>
      </w:r>
      <w:proofErr w:type="spellStart"/>
      <w:r>
        <w:t>Tinkercad</w:t>
      </w:r>
      <w:proofErr w:type="spellEnd"/>
      <w:r>
        <w:t>, y 5) en</w:t>
      </w:r>
      <w:r w:rsidRPr="008B5192">
        <w:t xml:space="preserve"> las </w:t>
      </w:r>
      <w:r>
        <w:t xml:space="preserve">condiciones y </w:t>
      </w:r>
      <w:r w:rsidRPr="008B5192">
        <w:t xml:space="preserve">restricciones que </w:t>
      </w:r>
      <w:r>
        <w:t>pueden presentarse en</w:t>
      </w:r>
      <w:r w:rsidRPr="008B5192">
        <w:t xml:space="preserve"> las instituciones escolares en las que la OM en cuestión es </w:t>
      </w:r>
      <w:r>
        <w:t>considerada</w:t>
      </w:r>
      <w:r w:rsidRPr="008B5192">
        <w:t xml:space="preserve"> como OM “a enseñar”.</w:t>
      </w:r>
      <w:r>
        <w:t xml:space="preserve"> </w:t>
      </w:r>
    </w:p>
    <w:p w14:paraId="65214097" w14:textId="77777777" w:rsidR="00EA04BB" w:rsidRDefault="00EA04BB" w:rsidP="00EA04BB">
      <w:r w:rsidRPr="006A0AB2">
        <w:t xml:space="preserve">Es </w:t>
      </w:r>
      <w:r>
        <w:t>necesario</w:t>
      </w:r>
      <w:r w:rsidRPr="006A0AB2">
        <w:t xml:space="preserve"> </w:t>
      </w:r>
      <w:r>
        <w:t>resaltar</w:t>
      </w:r>
      <w:r w:rsidRPr="006A0AB2">
        <w:t xml:space="preserve"> que el MER que </w:t>
      </w:r>
      <w:r>
        <w:t>explicitaremos</w:t>
      </w:r>
      <w:r w:rsidRPr="006A0AB2">
        <w:t xml:space="preserve"> es, como todos</w:t>
      </w:r>
      <w:r>
        <w:t>:</w:t>
      </w:r>
    </w:p>
    <w:p w14:paraId="0E1C2AD3" w14:textId="77777777" w:rsidR="007C76A0" w:rsidRDefault="00EA04BB" w:rsidP="007C76A0">
      <w:pPr>
        <w:pStyle w:val="PargrafodaLista"/>
        <w:numPr>
          <w:ilvl w:val="0"/>
          <w:numId w:val="7"/>
        </w:numPr>
      </w:pPr>
      <w:r w:rsidRPr="006642A8">
        <w:t>Un modelo</w:t>
      </w:r>
      <w:r w:rsidRPr="007C76A0">
        <w:rPr>
          <w:i/>
          <w:iCs/>
        </w:rPr>
        <w:t xml:space="preserve"> provisional</w:t>
      </w:r>
      <w:r w:rsidRPr="006A0AB2">
        <w:t xml:space="preserve">, esto es, una hipótesis a contrastar con los datos </w:t>
      </w:r>
      <w:r>
        <w:t>experimentales</w:t>
      </w:r>
      <w:r w:rsidRPr="006A0AB2">
        <w:t xml:space="preserve"> y sujeta a </w:t>
      </w:r>
      <w:r>
        <w:t>posibles cambios</w:t>
      </w:r>
      <w:r w:rsidRPr="006A0AB2">
        <w:t xml:space="preserve"> perman</w:t>
      </w:r>
      <w:r>
        <w:t>entes, y</w:t>
      </w:r>
    </w:p>
    <w:p w14:paraId="6F766557" w14:textId="717C9EC1" w:rsidR="00EA04BB" w:rsidRDefault="00EA04BB" w:rsidP="007C76A0">
      <w:pPr>
        <w:pStyle w:val="PargrafodaLista"/>
        <w:numPr>
          <w:ilvl w:val="0"/>
          <w:numId w:val="7"/>
        </w:numPr>
      </w:pPr>
      <w:r>
        <w:t>U</w:t>
      </w:r>
      <w:r w:rsidRPr="006A0AB2">
        <w:t xml:space="preserve">n modelo </w:t>
      </w:r>
      <w:r w:rsidRPr="007C76A0">
        <w:rPr>
          <w:i/>
          <w:iCs/>
        </w:rPr>
        <w:t>relativo</w:t>
      </w:r>
      <w:r w:rsidRPr="006A0AB2">
        <w:t xml:space="preserve">, </w:t>
      </w:r>
      <w:r>
        <w:t>desarrollado</w:t>
      </w:r>
      <w:r w:rsidRPr="006A0AB2">
        <w:t xml:space="preserve"> por </w:t>
      </w:r>
      <w:r>
        <w:t xml:space="preserve">el </w:t>
      </w:r>
      <w:r w:rsidRPr="006A0AB2">
        <w:t>investiga</w:t>
      </w:r>
      <w:r>
        <w:t xml:space="preserve">dor en </w:t>
      </w:r>
      <w:r w:rsidRPr="006A0AB2">
        <w:t xml:space="preserve">didáctica </w:t>
      </w:r>
      <w:r>
        <w:t>con</w:t>
      </w:r>
      <w:r w:rsidRPr="006A0AB2">
        <w:t xml:space="preserve"> unos fines concretos y limitados.</w:t>
      </w:r>
    </w:p>
    <w:p w14:paraId="54E33B9D" w14:textId="77777777" w:rsidR="008E3341" w:rsidRDefault="008E3341" w:rsidP="008E3341">
      <w:pPr>
        <w:ind w:left="360" w:firstLine="0"/>
      </w:pPr>
    </w:p>
    <w:p w14:paraId="57BC3E9C" w14:textId="6D941B42" w:rsidR="00F76019" w:rsidRPr="00944DD4" w:rsidRDefault="00F76019" w:rsidP="00F76019">
      <w:pPr>
        <w:pStyle w:val="Ttulo1"/>
        <w:rPr>
          <w:b w:val="0"/>
        </w:rPr>
      </w:pPr>
      <w:r>
        <w:t>PROBLEMA DE INVESTIGACIÓN</w:t>
      </w:r>
    </w:p>
    <w:p w14:paraId="09136B95" w14:textId="78F4DE9D" w:rsidR="008E2F19" w:rsidRDefault="008E2F19" w:rsidP="008E2F19">
      <w:r>
        <w:t>Las primeras exploraciones que nos condujeron a perfilar nuestra investigación se basaron en el análisis de algunos de los libros de texto propuestos para la enseñanza de las matemáticas en la ESO (</w:t>
      </w:r>
      <w:r w:rsidR="00C13DEC">
        <w:t>Autor</w:t>
      </w:r>
      <w:r>
        <w:t xml:space="preserve">, </w:t>
      </w:r>
      <w:r w:rsidR="00C13DEC">
        <w:t>año</w:t>
      </w:r>
      <w:r>
        <w:t xml:space="preserve">). </w:t>
      </w:r>
      <w:r w:rsidRPr="004E0F9C">
        <w:t xml:space="preserve">Este análisis desveló el fenómeno didáctico general de la desaparición de las razones de ser de los saberes geométricos propuestos en el currículo. Dentro de la TAD, han sido tratados fenómenos ligados con dicho fenómeno general como el de la rigidez de las </w:t>
      </w:r>
      <w:r w:rsidRPr="006642A8">
        <w:t xml:space="preserve">OM </w:t>
      </w:r>
      <w:r w:rsidRPr="004E0F9C">
        <w:t xml:space="preserve">que se estudian en secundaria </w:t>
      </w:r>
      <w:r w:rsidRPr="004E0F9C">
        <w:fldChar w:fldCharType="begin" w:fldLock="1"/>
      </w:r>
      <w:r w:rsidRPr="004E0F9C">
        <w:instrText>ADDIN CSL_CITATION {"citationItems":[{"id":"ITEM-1","itemData":{"abstract":"Correct punctuation is essential for clear and effective writing. The following list contains some of the most critical punctuation rules.","author":[{"dropping-particle":"","family":"Fonseca","given":"Cecilio","non-dropping-particle":"","parse-names":false,"suffix":""}],"genre":"Tesis doctoral","id":"ITEM-1","issued":{"date-parts":[["2004"]]},"publisher":"Universidad de Vigo","publisher-place":"Vigo, España","title":"Discontinuidades matemáticas y didácticas entre la Enseñanza Secundaria y la Enseñanza Universitaria","type":"thesis"},"uris":["http://www.mendeley.com/documents/?uuid=e9ddbe4d-d694-4c71-933c-da43782880d6"]}],"mendeley":{"formattedCitation":"(Fonseca, 2004)","plainTextFormattedCitation":"(Fonseca, 2004)","previouslyFormattedCitation":"(Fonseca, 2004)"},"properties":{"noteIndex":0},"schema":"https://github.com/citation-style-language/schema/raw/master/csl-citation.json"}</w:instrText>
      </w:r>
      <w:r w:rsidRPr="004E0F9C">
        <w:fldChar w:fldCharType="separate"/>
      </w:r>
      <w:r w:rsidRPr="004E0F9C">
        <w:rPr>
          <w:noProof/>
        </w:rPr>
        <w:t xml:space="preserve">(Fonseca, </w:t>
      </w:r>
      <w:r w:rsidRPr="004E0F9C">
        <w:rPr>
          <w:noProof/>
        </w:rPr>
        <w:lastRenderedPageBreak/>
        <w:t>2004)</w:t>
      </w:r>
      <w:r w:rsidRPr="004E0F9C">
        <w:fldChar w:fldCharType="end"/>
      </w:r>
      <w:r w:rsidRPr="004E0F9C">
        <w:t xml:space="preserve">, o el de la falta de justificación de la aparición de la geometría analítica en el bachillerato y su desarticulación con el estudio de la geometría sintética presentada en la ESO </w:t>
      </w:r>
      <w:r w:rsidRPr="004E0F9C">
        <w:fldChar w:fldCharType="begin" w:fldLock="1"/>
      </w:r>
      <w:r w:rsidRPr="004E0F9C">
        <w:instrText>ADDIN CSL_CITATION {"citationItems":[{"id":"ITEM-1","itemData":{"abstract":"En este trabajo, que consta de dos partes, se analizan algunas de las consecuencias didácticas provocadas por el \"encierro en los temas\" al que se ve abocada la enseñanza de las matemáticas en Secundaria. En la primera parte se describe el fenómeno del autismo temático relacionándolo con la separación escolar entre el ámbito de \"lo matemático\" y el ámbito de \"lo pedagógico\" entendido como el espacio de actuación del profesor. Se muestra cómo dicho fenómeno provoca la desaparición de las razones de ser (del \"por qué\" y el \"para qué\") del estudio escolar de la geometría. La segunda parte será publicada en SUMA 45.","author":[{"dropping-particle":"","family":"Gascón","given":"Josep","non-dropping-particle":"","parse-names":false,"suffix":""}],"container-title":"SUMA","id":"ITEM-1","issued":{"date-parts":[["2003"]]},"note":"Referencia ok","page":"25-34","title":"Efectos del autismo temático sobre el estudio de la Geometría en Secundaria I. Desaparición escolar de la razón de ser de la Geometría","type":"article-magazine","volume":"44"},"uris":["http://www.mendeley.com/documents/?uuid=b32dce45-500c-4177-84bb-17946bdc582a"]}],"mendeley":{"formattedCitation":"(Gascón, 2003)","plainTextFormattedCitation":"(Gascón, 2003)","previouslyFormattedCitation":"(Gascón, 2003)"},"properties":{"noteIndex":0},"schema":"https://github.com/citation-style-language/schema/raw/master/csl-citation.json"}</w:instrText>
      </w:r>
      <w:r w:rsidRPr="004E0F9C">
        <w:fldChar w:fldCharType="separate"/>
      </w:r>
      <w:r w:rsidRPr="004E0F9C">
        <w:rPr>
          <w:noProof/>
        </w:rPr>
        <w:t>(Gascón, 2003)</w:t>
      </w:r>
      <w:r w:rsidRPr="004E0F9C">
        <w:fldChar w:fldCharType="end"/>
      </w:r>
      <w:r>
        <w:t>.</w:t>
      </w:r>
    </w:p>
    <w:p w14:paraId="4912EDDF" w14:textId="77777777" w:rsidR="008E2F19" w:rsidRDefault="008E2F19" w:rsidP="008E2F19">
      <w:r>
        <w:t xml:space="preserve">Algunos hechos concretos que pusieron de relieve este fenómeno didáctico general en </w:t>
      </w:r>
      <w:r w:rsidRPr="004E0F9C">
        <w:t xml:space="preserve">el análisis que realizamos </w:t>
      </w:r>
      <w:r w:rsidRPr="006642A8">
        <w:t xml:space="preserve">son los siguientes: </w:t>
      </w:r>
    </w:p>
    <w:p w14:paraId="1E9C4B9F" w14:textId="77777777" w:rsidR="00AF6692" w:rsidRDefault="008E2F19" w:rsidP="00AF6692">
      <w:pPr>
        <w:pStyle w:val="PargrafodaLista"/>
        <w:numPr>
          <w:ilvl w:val="0"/>
          <w:numId w:val="7"/>
        </w:numPr>
      </w:pPr>
      <w:r w:rsidRPr="00C47556">
        <w:t>La visión segmentada de los manuales escolares sobre los saberes matemáticos propuestos, ya que, por ejemplo, el estudio de las funciones y el del cálculo de áreas y de volúmenes de sólidos suelen aparece desconectados</w:t>
      </w:r>
      <w:r w:rsidRPr="00E92300">
        <w:t>.</w:t>
      </w:r>
    </w:p>
    <w:p w14:paraId="698F9483" w14:textId="77777777" w:rsidR="00AF6692" w:rsidRDefault="008E2F19" w:rsidP="00AF6692">
      <w:pPr>
        <w:pStyle w:val="PargrafodaLista"/>
        <w:numPr>
          <w:ilvl w:val="0"/>
          <w:numId w:val="7"/>
        </w:numPr>
      </w:pPr>
      <w:r w:rsidRPr="00C47556">
        <w:t>El tratamiento casi exclusivamente aritmético (como algoritmos de cálculo) de las fórmulas empleadas para el cálculo de áreas y de volúmenes de sólidos, ya que, en la mayoría de los casos, basta con sustituir sus elementos por los valores concretos, que proporciona el enunciado, para hallar el valor numérico de cierta magnitud.</w:t>
      </w:r>
    </w:p>
    <w:p w14:paraId="16DE4FC1" w14:textId="77777777" w:rsidR="00AF6692" w:rsidRDefault="008E2F19" w:rsidP="00AF6692">
      <w:pPr>
        <w:pStyle w:val="PargrafodaLista"/>
        <w:numPr>
          <w:ilvl w:val="0"/>
          <w:numId w:val="7"/>
        </w:numPr>
      </w:pPr>
      <w:r w:rsidRPr="00C47556">
        <w:t xml:space="preserve">Los tipos de tareas que se proponen están formados predominantemente por tareas </w:t>
      </w:r>
      <w:r w:rsidRPr="00AF6692">
        <w:rPr>
          <w:i/>
          <w:iCs/>
        </w:rPr>
        <w:t>directas</w:t>
      </w:r>
      <w:r w:rsidRPr="00C47556">
        <w:t xml:space="preserve"> (nunca se intercambian los datos y las incógnitas de un problema para formular tareas </w:t>
      </w:r>
      <w:r w:rsidRPr="00AF6692">
        <w:rPr>
          <w:i/>
          <w:iCs/>
        </w:rPr>
        <w:t>inversas</w:t>
      </w:r>
      <w:r w:rsidRPr="00C47556">
        <w:t xml:space="preserve">) y </w:t>
      </w:r>
      <w:r w:rsidRPr="00AF6692">
        <w:rPr>
          <w:i/>
          <w:iCs/>
        </w:rPr>
        <w:t>cerradas</w:t>
      </w:r>
      <w:r w:rsidRPr="00C47556">
        <w:t xml:space="preserve"> (no aparecen tareas </w:t>
      </w:r>
      <w:r w:rsidRPr="00AF6692">
        <w:rPr>
          <w:i/>
          <w:iCs/>
        </w:rPr>
        <w:t>abiertas</w:t>
      </w:r>
      <w:r w:rsidRPr="00C47556">
        <w:t xml:space="preserve"> que requieran que el estudiante decida qué variables serán relevantes para resolver el problema).</w:t>
      </w:r>
    </w:p>
    <w:p w14:paraId="0F624AC7" w14:textId="0B9965AD" w:rsidR="008E2F19" w:rsidRPr="00C47556" w:rsidRDefault="008E2F19" w:rsidP="00AF6692">
      <w:pPr>
        <w:pStyle w:val="PargrafodaLista"/>
        <w:numPr>
          <w:ilvl w:val="0"/>
          <w:numId w:val="7"/>
        </w:numPr>
      </w:pPr>
      <w:r w:rsidRPr="00C47556">
        <w:t xml:space="preserve">Se observa una relación cíclica reiterativa entre tipos de tareas y técnicas asociadas. Por ejemplo, para explicar y justificar el uso del teorema de Pitágoras, se presentan problemas de triángulos rectángulos cuya resolución requiere calcular la medida de uno de sus lados, donde la herramienta, que ha sido explicada previamente para resolver dichas situaciones, es justamente el uso del teorema. </w:t>
      </w:r>
    </w:p>
    <w:p w14:paraId="48DB7435" w14:textId="2714EFBD" w:rsidR="008E2F19" w:rsidRDefault="008E2F19" w:rsidP="008E2F19">
      <w:r>
        <w:t>El MER que queremos explicitar en este artículo nos ha permitido caracterizar cierta</w:t>
      </w:r>
      <w:r w:rsidRPr="006642A8">
        <w:t xml:space="preserve"> OM de la geometría de la ESO </w:t>
      </w:r>
      <w:r>
        <w:t>y detectar</w:t>
      </w:r>
      <w:r w:rsidRPr="00313931">
        <w:t xml:space="preserve"> la existencia de fenómenos didácticos como </w:t>
      </w:r>
      <w:r w:rsidRPr="006642A8">
        <w:rPr>
          <w:i/>
          <w:iCs/>
        </w:rPr>
        <w:t>la separación entre las geometrías 2D y 3D</w:t>
      </w:r>
      <w:r w:rsidRPr="00313931">
        <w:t xml:space="preserve">, y el </w:t>
      </w:r>
      <w:r w:rsidRPr="006642A8">
        <w:rPr>
          <w:i/>
          <w:iCs/>
        </w:rPr>
        <w:t>debilitamiento de la actividad de modelización en el ámbito de la geometría</w:t>
      </w:r>
      <w:r>
        <w:t xml:space="preserve"> (</w:t>
      </w:r>
      <w:r w:rsidR="00C13DEC">
        <w:t>Autor</w:t>
      </w:r>
      <w:r>
        <w:t xml:space="preserve">, </w:t>
      </w:r>
      <w:r w:rsidR="00C13DEC">
        <w:t>año</w:t>
      </w:r>
      <w:r>
        <w:t>)</w:t>
      </w:r>
      <w:r w:rsidR="00AF6692">
        <w:t>.</w:t>
      </w:r>
    </w:p>
    <w:p w14:paraId="2605ECC6" w14:textId="77777777" w:rsidR="008E2F19" w:rsidRDefault="008E2F19" w:rsidP="008E2F19">
      <w:pPr>
        <w:rPr>
          <w:rFonts w:cs="Times New Roman"/>
        </w:rPr>
      </w:pPr>
      <w:r>
        <w:t>En coherencia con lo anterior</w:t>
      </w:r>
      <w:r w:rsidRPr="001E536A">
        <w:t xml:space="preserve">, </w:t>
      </w:r>
      <w:r>
        <w:t xml:space="preserve">el problema de investigación que queremos abordar en este trabajo consiste en </w:t>
      </w:r>
      <w:r w:rsidRPr="006642A8">
        <w:rPr>
          <w:i/>
          <w:iCs/>
        </w:rPr>
        <w:t>explicitar las condiciones que permiten determinar la forma y el tamaño de un sólido y</w:t>
      </w:r>
      <w:r>
        <w:rPr>
          <w:i/>
          <w:iCs/>
        </w:rPr>
        <w:t>,</w:t>
      </w:r>
      <w:r w:rsidRPr="006642A8">
        <w:rPr>
          <w:i/>
          <w:iCs/>
        </w:rPr>
        <w:t xml:space="preserve"> una vez determinado dicho sólido</w:t>
      </w:r>
      <w:r>
        <w:rPr>
          <w:i/>
          <w:iCs/>
        </w:rPr>
        <w:t>,</w:t>
      </w:r>
      <w:r w:rsidRPr="006642A8">
        <w:rPr>
          <w:i/>
          <w:iCs/>
        </w:rPr>
        <w:t xml:space="preserve"> buscar qué posible técnica puede utilizarse para construirlo</w:t>
      </w:r>
      <w:r w:rsidRPr="006642A8">
        <w:t>.</w:t>
      </w:r>
      <w:r w:rsidRPr="001E536A">
        <w:t xml:space="preserve"> </w:t>
      </w:r>
      <w:r w:rsidRPr="006642A8">
        <w:t xml:space="preserve">Este problema general de la determinación y construcción de sólidos </w:t>
      </w:r>
      <w:r>
        <w:t>surgirá</w:t>
      </w:r>
      <w:r w:rsidRPr="006642A8">
        <w:t xml:space="preserve"> de la búsqueda de </w:t>
      </w:r>
      <w:r>
        <w:t xml:space="preserve">la </w:t>
      </w:r>
      <w:r w:rsidRPr="006642A8">
        <w:t>solución</w:t>
      </w:r>
      <w:r w:rsidRPr="001E536A">
        <w:t xml:space="preserve"> de un tipo de problemas conocido como </w:t>
      </w:r>
      <w:r w:rsidRPr="006642A8">
        <w:rPr>
          <w:i/>
        </w:rPr>
        <w:t>problemas espaciales</w:t>
      </w:r>
      <w:r w:rsidRPr="001E536A">
        <w:t xml:space="preserve"> </w:t>
      </w:r>
      <w:r w:rsidRPr="001E536A">
        <w:fldChar w:fldCharType="begin" w:fldLock="1"/>
      </w:r>
      <w:r w:rsidRPr="001E536A">
        <w:instrText>ADDIN CSL_CITATION {"citationItems":[{"id":"ITEM-1","itemData":{"ISBN":"84-369-3923-9","author":[{"dropping-particle":"","family":"Salin","given":"Marie Hélène","non-dropping-particle":"","parse-names":false,"suffix":""}],"container-title":"Números, formas y volúmenes en el entorno del niño","editor":[{"dropping-particle":"","family":"Chamorro","given":"Carmen","non-dropping-particle":"","parse-names":false,"suffix":""}],"id":"ITEM-1","issued":{"date-parts":[["2004"]]},"note":"Referencia ok","page":"37-80","publisher":"Ministerio de Educación y Ciencia","publisher-place":"Madrid","title":"La enseñanza del espacio y la geometría en la enseñanza elemental","type":"chapter"},"uris":["http://www.mendeley.com/documents/?uuid=ea786599-4f96-4b5a-92a4-543ce30140aa"]}],"mendeley":{"formattedCitation":"(Salin, 2004)","plainTextFormattedCitation":"(Salin, 2004)","previouslyFormattedCitation":"(Salin, 2004)"},"properties":{"noteIndex":0},"schema":"https://github.com/citation-style-language/schema/raw/master/csl-citation.json"}</w:instrText>
      </w:r>
      <w:r w:rsidRPr="001E536A">
        <w:fldChar w:fldCharType="separate"/>
      </w:r>
      <w:r w:rsidRPr="001E536A">
        <w:rPr>
          <w:noProof/>
        </w:rPr>
        <w:t>(Salin, 2004)</w:t>
      </w:r>
      <w:r w:rsidRPr="001E536A">
        <w:fldChar w:fldCharType="end"/>
      </w:r>
      <w:r w:rsidRPr="001E536A">
        <w:t xml:space="preserve"> </w:t>
      </w:r>
      <w:r w:rsidRPr="006642A8">
        <w:t xml:space="preserve">cuya solución se </w:t>
      </w:r>
      <w:r w:rsidRPr="006642A8">
        <w:lastRenderedPageBreak/>
        <w:t xml:space="preserve">fundamenta en un proceso de </w:t>
      </w:r>
      <w:r w:rsidRPr="006642A8">
        <w:rPr>
          <w:i/>
        </w:rPr>
        <w:t>modelización espacio-geométrica</w:t>
      </w:r>
      <w:r w:rsidRPr="001E536A">
        <w:t xml:space="preserve">  </w:t>
      </w:r>
      <w:r w:rsidRPr="001E536A">
        <w:rPr>
          <w:rFonts w:cs="Times New Roman"/>
        </w:rPr>
        <w:fldChar w:fldCharType="begin" w:fldLock="1"/>
      </w:r>
      <w:r w:rsidRPr="001E536A">
        <w:rPr>
          <w:rFonts w:cs="Times New Roman"/>
        </w:rPr>
        <w:instrText>ADDIN CSL_CITATION {"citationItems":[{"id":"ITEM-1","itemData":{"author":[{"dropping-particle":"","family":"Berthelot","given":"René","non-dropping-particle":"","parse-names":false,"suffix":""},{"dropping-particle":"","family":"Salin","given":"Marie Hélène","non-dropping-particle":"","parse-names":false,"suffix":""}],"container-title":"Petit x","id":"ITEM-1","issued":{"date-parts":[["2001"]]},"note":"Referencia ok","page":"5-34","title":"L'enseignement de la géométrie au début du collège. Comment concevoir le passage de la géométrie du constat à la géométrie déductive?","type":"article-journal","volume":"56"},"uris":["http://www.mendeley.com/documents/?uuid=dd5f5f32-8a39-4fd3-b1c7-13de3345887d"]},{"id":"ITEM-2","itemData":{"ISBN":"2 85919 203 4","author":[{"dropping-particle":"","family":"Bloch","given":"Isabelle","non-dropping-particle":"","parse-names":false,"suffix":""},{"dropping-particle":"","family":"Salin","given":"Marie Hélène","non-dropping-particle":"","parse-names":false,"suffix":""}],"container-title":"Sur la théorie des situations didactiques","editor":[{"dropping-particle":"","family":"Salin","given":"Marie Hélène","non-dropping-particle":"","parse-names":false,"suffix":""},{"dropping-particle":"","family":"Clanché","given":"Pierre","non-dropping-particle":"","parse-names":false,"suffix":""},{"dropping-particle":"","family":"Sarrazy","given":"Bernard","non-dropping-particle":"","parse-names":false,"suffix":""}],"id":"ITEM-2","issued":{"date-parts":[["2005"]]},"page":"125-142","publisher":"La Pensée Sauvage","publisher-place":"Grenoble","title":"Vers une problématique de modélisation dans l'enseignement elementaire de la geometrie","type":"chapter"},"uris":["http://www.mendeley.com/documents/?uuid=e9476aa5-d43d-4860-bf3e-d1afc6e92836"]},{"id":"ITEM-3","itemData":{"author":[{"dropping-particle":"","family":"Bloch","given":"Isabelle","non-dropping-particle":"","parse-names":false,"suffix":""},{"dropping-particle":"","family":"Salin","given":"Marie Hélène","non-dropping-particle":"","parse-names":false,"suffix":""}],"container-title":"Actes du 30e Colloque de la COPIRELEM Avignon 2000","id":"ITEM-3","issued":{"date-parts":[["2004"]]},"note":"Referencia ok","page":"293-306","title":"Espace et géométrie: géométrie dans le méso-espace à l'école primaire et au début du collège","type":"paper-conference"},"uris":["http://www.mendeley.com/documents/?uuid=1142235b-37b7-4c6d-a016-d5c946c04dbb"]}],"mendeley":{"formattedCitation":"(Berthelot &amp; Salin, 2001; Bloch &amp; Salin, 2005, 2004)","plainTextFormattedCitation":"(Berthelot &amp; Salin, 2001; Bloch &amp; Salin, 2005, 2004)","previouslyFormattedCitation":"(Berthelot &amp; Salin, 2001; Bloch &amp; Salin, 2005, 2004)"},"properties":{"noteIndex":0},"schema":"https://github.com/citation-style-language/schema/raw/master/csl-citation.json"}</w:instrText>
      </w:r>
      <w:r w:rsidRPr="001E536A">
        <w:rPr>
          <w:rFonts w:cs="Times New Roman"/>
        </w:rPr>
        <w:fldChar w:fldCharType="separate"/>
      </w:r>
      <w:r w:rsidRPr="001E536A">
        <w:rPr>
          <w:rFonts w:cs="Times New Roman"/>
          <w:noProof/>
        </w:rPr>
        <w:t>(Berthelot &amp; Salin, 2001; Bloch &amp; Salin, 200</w:t>
      </w:r>
      <w:r>
        <w:rPr>
          <w:rFonts w:cs="Times New Roman"/>
          <w:noProof/>
        </w:rPr>
        <w:t>4</w:t>
      </w:r>
      <w:r w:rsidRPr="001E536A">
        <w:rPr>
          <w:rFonts w:cs="Times New Roman"/>
          <w:noProof/>
        </w:rPr>
        <w:t>, 200</w:t>
      </w:r>
      <w:r>
        <w:rPr>
          <w:rFonts w:cs="Times New Roman"/>
          <w:noProof/>
        </w:rPr>
        <w:t>5</w:t>
      </w:r>
      <w:r w:rsidRPr="001E536A">
        <w:rPr>
          <w:rFonts w:cs="Times New Roman"/>
          <w:noProof/>
        </w:rPr>
        <w:t>)</w:t>
      </w:r>
      <w:r w:rsidRPr="001E536A">
        <w:rPr>
          <w:rFonts w:cs="Times New Roman"/>
        </w:rPr>
        <w:fldChar w:fldCharType="end"/>
      </w:r>
      <w:r w:rsidRPr="001E536A">
        <w:rPr>
          <w:rFonts w:cs="Times New Roman"/>
        </w:rPr>
        <w:t>.</w:t>
      </w:r>
    </w:p>
    <w:p w14:paraId="4C592166" w14:textId="77777777" w:rsidR="008E2F19" w:rsidRDefault="008E2F19" w:rsidP="008E2F19">
      <w:pPr>
        <w:rPr>
          <w:lang w:val="es-CO"/>
        </w:rPr>
      </w:pPr>
      <w:r w:rsidRPr="00063AEC">
        <w:rPr>
          <w:lang w:val="es-CO"/>
        </w:rPr>
        <w:t xml:space="preserve">La modelización espacio-geométrica que proponen </w:t>
      </w:r>
      <w:proofErr w:type="spellStart"/>
      <w:r w:rsidRPr="00063AEC">
        <w:rPr>
          <w:lang w:val="es-CO"/>
        </w:rPr>
        <w:t>Berthelot</w:t>
      </w:r>
      <w:proofErr w:type="spellEnd"/>
      <w:r w:rsidRPr="00063AEC">
        <w:rPr>
          <w:lang w:val="es-CO"/>
        </w:rPr>
        <w:t xml:space="preserve"> y </w:t>
      </w:r>
      <w:proofErr w:type="spellStart"/>
      <w:r w:rsidRPr="00063AEC">
        <w:rPr>
          <w:lang w:val="es-CO"/>
        </w:rPr>
        <w:t>Salin</w:t>
      </w:r>
      <w:proofErr w:type="spellEnd"/>
      <w:r w:rsidRPr="00063AEC">
        <w:rPr>
          <w:lang w:val="es-CO"/>
        </w:rPr>
        <w:t xml:space="preserve"> (</w:t>
      </w:r>
      <w:r w:rsidRPr="00063AEC">
        <w:rPr>
          <w:lang w:val="es-CO"/>
        </w:rPr>
        <w:fldChar w:fldCharType="begin" w:fldLock="1"/>
      </w:r>
      <w:r w:rsidRPr="00063AEC">
        <w:rPr>
          <w:lang w:val="es-CO"/>
        </w:rPr>
        <w:instrText>ADDIN CSL_CITATION {"citationItems":[{"id":"ITEM-1","itemData":{"abstract":"L'apprentissage des connaissances spatiales ne figure pas dans les curriculum d'enseignement, au delà du cycle 2. Il est remplacé par celui de la géométrie des figures élémentaires. Cette absence laisse enfants et adultes démunis dans de nombreuses situations nécessitant l’usage ou la production de représentations spatiales de la vie courante ou professionnelle. Par ailleurs, l’enseignement de la géométrie au collège constitue pour un trop grand nombre d’élèves un obstacle à l’apprentissage des mathématiques. La thèse est une étude des liens entre ces deux phénomènes et une tentative pour ouvrir des voies de solution à ce problème. L’étude montre comment le contrat didactique de l’enseignement de la géométrie repose sur la fiction culturelle de la transparence des rapports spatiaux dans l’apprentissage de la géométrie élémentaire ; il appartient à l’élève seul de se constituer et de mettre en oeuvre les connaissances nécessaires à la compréhension de la géométrie enseignée; or ces connaissances ne sont pas « naturellement » acquises dans notre société par les interactions usuelles avec l’environnement spatial ; en cas d’échec cette fiction ne permet à l’enseignant que des remédiations inefficaces et/ou le conduit à en rejeter la responsabilité sur l’élève. L’étude théorique s’appuie sur la théorie des situations didactiques développée par G Brousseau. Les auteurs proposent de distinguer trois principaux types de rapports à l’espace appelés problématiques : la problématique pratique, la problématique de modélisation « spatio-géométrique », la problématique géométrique (déductive ou théorique). Ils montrent par de nombreux exemples comment l’absence de prise en compte ou d’articulation de ces problématiques dans l’enseignement les constitue en obstacles à l’apprentissage. Pour construire des situations d’enseignement permettant le dépassement de la problématique pratique, les auteurs reprennent et étendent l’analyse des représentations de l’espace introduites par G. Galvez et G. Brousseau, micro, meso, et macro-espaces.. Ils développent à cet effet plusieurs processus expérimentaux, sur l’enseignement des plans, sur l’enseignement des angles et de leur mesure, sur l’introduction des raisonnements sur les figures élémentaires, et une analyse comparée de plusieurs situations d'introduction à la démonstration au collège.","author":[{"dropping-particle":"","family":"Berthelot","given":"René","non-dropping-particle":"","parse-names":false,"suffix":""},{"dropping-particle":"","family":"Salin","given":"Marie Hélène","non-dropping-particle":"","parse-names":false,"suffix":""}],"genre":"Tesis doctoral","id":"ITEM-1","issued":{"date-parts":[["1992"]]},"note":"Referencia ok","number-of-pages":"5-371","publisher":"Université Sciences et Technologies - Bordeaux I","publisher-place":"Burdeos, Francia","title":"L'enseignement de l'espace et de la géométrie dans la scolarité obligatoire","type":"thesis"},"uris":["http://www.mendeley.com/documents/?uuid=4d8a6711-bd39-466f-8726-e8fb74996b15"]}],"mendeley":{"formattedCitation":"(Berthelot &amp; Salin, 1992)","plainTextFormattedCitation":"(Berthelot &amp; Salin, 1992)","previouslyFormattedCitation":"(Berthelot &amp; Salin, 1992)"},"properties":{"noteIndex":0},"schema":"https://github.com/citation-style-language/schema/raw/master/csl-citation.json"}</w:instrText>
      </w:r>
      <w:r w:rsidRPr="00063AEC">
        <w:rPr>
          <w:lang w:val="es-CO"/>
        </w:rPr>
        <w:fldChar w:fldCharType="separate"/>
      </w:r>
      <w:r w:rsidRPr="00063AEC">
        <w:rPr>
          <w:noProof/>
          <w:lang w:val="es-CO"/>
        </w:rPr>
        <w:t>1992)</w:t>
      </w:r>
      <w:r w:rsidRPr="00063AEC">
        <w:rPr>
          <w:lang w:val="es-CO"/>
        </w:rPr>
        <w:fldChar w:fldCharType="end"/>
      </w:r>
      <w:r w:rsidRPr="00063AEC">
        <w:rPr>
          <w:lang w:val="es-CO"/>
        </w:rPr>
        <w:t xml:space="preserve"> </w:t>
      </w:r>
      <w:r w:rsidRPr="006642A8">
        <w:rPr>
          <w:lang w:val="es-CO"/>
        </w:rPr>
        <w:t>tiene su origen</w:t>
      </w:r>
      <w:r w:rsidRPr="00063AEC">
        <w:rPr>
          <w:lang w:val="es-CO"/>
        </w:rPr>
        <w:t xml:space="preserve"> en un problema </w:t>
      </w:r>
      <w:r w:rsidRPr="006642A8">
        <w:rPr>
          <w:lang w:val="es-CO"/>
        </w:rPr>
        <w:t>formulado en términos</w:t>
      </w:r>
      <w:r w:rsidRPr="00063AEC">
        <w:rPr>
          <w:lang w:val="es-CO"/>
        </w:rPr>
        <w:t xml:space="preserve"> del espacio sensible o problema espacial. </w:t>
      </w:r>
      <w:r w:rsidRPr="006642A8">
        <w:rPr>
          <w:lang w:val="es-CO"/>
        </w:rPr>
        <w:t>Para resolverlo, se representa</w:t>
      </w:r>
      <w:r w:rsidRPr="00063AEC">
        <w:rPr>
          <w:lang w:val="es-CO"/>
        </w:rPr>
        <w:t xml:space="preserve"> mediante un modelo geométrico, </w:t>
      </w:r>
      <w:r w:rsidRPr="006642A8">
        <w:rPr>
          <w:lang w:val="es-CO"/>
        </w:rPr>
        <w:t>se utilizan</w:t>
      </w:r>
      <w:r w:rsidRPr="00063AEC">
        <w:rPr>
          <w:lang w:val="es-CO"/>
        </w:rPr>
        <w:t xml:space="preserve"> las propiedades geométricas correspondientes </w:t>
      </w:r>
      <w:r w:rsidRPr="006642A8">
        <w:rPr>
          <w:lang w:val="es-CO"/>
        </w:rPr>
        <w:t>y se concluye validando el resultado obtenido</w:t>
      </w:r>
      <w:r w:rsidRPr="00063AEC">
        <w:rPr>
          <w:lang w:val="es-CO"/>
        </w:rPr>
        <w:t xml:space="preserve"> en el espacio sensible. </w:t>
      </w:r>
      <w:r w:rsidRPr="006642A8">
        <w:rPr>
          <w:lang w:val="es-CO"/>
        </w:rPr>
        <w:t>Este proceso</w:t>
      </w:r>
      <w:r w:rsidRPr="00063AEC">
        <w:rPr>
          <w:lang w:val="es-CO"/>
        </w:rPr>
        <w:t xml:space="preserve"> resulta de gran interés para llevarlo a cabo en la enseñanza ya que permite considerar la relación entre el espacio sensible y el espacio geométrico, </w:t>
      </w:r>
      <w:r w:rsidRPr="006642A8">
        <w:rPr>
          <w:lang w:val="es-CO"/>
        </w:rPr>
        <w:t xml:space="preserve">tomando en consideración la </w:t>
      </w:r>
      <w:r w:rsidRPr="006642A8">
        <w:rPr>
          <w:i/>
          <w:lang w:val="es-CO"/>
        </w:rPr>
        <w:t>naturaleza experimental de la geometría</w:t>
      </w:r>
      <w:r w:rsidRPr="006642A8">
        <w:rPr>
          <w:lang w:val="es-CO"/>
        </w:rPr>
        <w:t xml:space="preserve">. Este enfoque </w:t>
      </w:r>
      <w:r w:rsidRPr="00063AEC">
        <w:rPr>
          <w:lang w:val="es-CO"/>
        </w:rPr>
        <w:t xml:space="preserve">posibilita realizar </w:t>
      </w:r>
      <w:r>
        <w:rPr>
          <w:lang w:val="es-CO"/>
        </w:rPr>
        <w:t>el</w:t>
      </w:r>
      <w:r w:rsidRPr="00063AEC">
        <w:rPr>
          <w:lang w:val="es-CO"/>
        </w:rPr>
        <w:t xml:space="preserve"> </w:t>
      </w:r>
      <w:r>
        <w:rPr>
          <w:lang w:val="es-CO"/>
        </w:rPr>
        <w:t xml:space="preserve">estudio </w:t>
      </w:r>
      <w:r w:rsidRPr="00063AEC">
        <w:rPr>
          <w:lang w:val="es-CO"/>
        </w:rPr>
        <w:t xml:space="preserve">coherente de la geometría a lo largo de </w:t>
      </w:r>
      <w:r w:rsidRPr="006642A8">
        <w:rPr>
          <w:lang w:val="es-CO"/>
        </w:rPr>
        <w:t>toda</w:t>
      </w:r>
      <w:r w:rsidRPr="00063AEC">
        <w:rPr>
          <w:lang w:val="es-CO"/>
        </w:rPr>
        <w:t xml:space="preserve"> la escolaridad obligatoria, dado que en esta etapa se necesita tener en cuenta </w:t>
      </w:r>
      <w:r w:rsidRPr="004950FD">
        <w:rPr>
          <w:lang w:val="es-CO"/>
        </w:rPr>
        <w:t>y articular adecuadamente ambos tipos de espacios.</w:t>
      </w:r>
    </w:p>
    <w:p w14:paraId="12632C1C" w14:textId="77777777" w:rsidR="008E2F19" w:rsidRDefault="008E2F19" w:rsidP="008E2F19">
      <w:pPr>
        <w:rPr>
          <w:lang w:val="es-CO"/>
        </w:rPr>
      </w:pPr>
      <w:r>
        <w:rPr>
          <w:lang w:val="es-CO"/>
        </w:rPr>
        <w:t xml:space="preserve">El MER, que describiremos y explicaremos, </w:t>
      </w:r>
      <w:r w:rsidRPr="004950FD">
        <w:rPr>
          <w:lang w:val="es-CO"/>
        </w:rPr>
        <w:t xml:space="preserve">es fruto de las aportaciones que hemos </w:t>
      </w:r>
      <w:r>
        <w:rPr>
          <w:lang w:val="es-CO"/>
        </w:rPr>
        <w:t xml:space="preserve">desarrollado en varios trabajos realizados a lo largo de los tres últimos años. Primero hemos diseñado e implementado un REI en torno al diseño de un envase en dos </w:t>
      </w:r>
      <w:r w:rsidRPr="004950FD">
        <w:rPr>
          <w:lang w:val="es-CO"/>
        </w:rPr>
        <w:t xml:space="preserve">ocasiones diferentes en </w:t>
      </w:r>
      <w:r>
        <w:rPr>
          <w:lang w:val="es-CO"/>
        </w:rPr>
        <w:t>dos</w:t>
      </w:r>
      <w:r w:rsidRPr="004950FD">
        <w:rPr>
          <w:lang w:val="es-CO"/>
        </w:rPr>
        <w:t xml:space="preserve"> Instituto</w:t>
      </w:r>
      <w:r>
        <w:rPr>
          <w:lang w:val="es-CO"/>
        </w:rPr>
        <w:t>s</w:t>
      </w:r>
      <w:r w:rsidRPr="004950FD">
        <w:rPr>
          <w:lang w:val="es-CO"/>
        </w:rPr>
        <w:t xml:space="preserve"> de Enseñanza Secundaria:</w:t>
      </w:r>
    </w:p>
    <w:p w14:paraId="7BF897DB" w14:textId="0B600A9C" w:rsidR="007F5DAA" w:rsidRPr="007F5DAA" w:rsidRDefault="00434B83" w:rsidP="007F5DAA">
      <w:pPr>
        <w:pStyle w:val="PargrafodaLista"/>
        <w:numPr>
          <w:ilvl w:val="0"/>
          <w:numId w:val="7"/>
        </w:numPr>
      </w:pPr>
      <w:r>
        <w:rPr>
          <w:lang w:val="es-CO"/>
        </w:rPr>
        <w:t>p</w:t>
      </w:r>
      <w:r w:rsidR="008E2F19" w:rsidRPr="007F5DAA">
        <w:rPr>
          <w:lang w:val="es-CO"/>
        </w:rPr>
        <w:t>rimero</w:t>
      </w:r>
      <w:r w:rsidR="00F05D5A">
        <w:rPr>
          <w:lang w:val="es-CO"/>
        </w:rPr>
        <w:t>,</w:t>
      </w:r>
      <w:r w:rsidR="008E2F19" w:rsidRPr="007F5DAA">
        <w:rPr>
          <w:lang w:val="es-CO"/>
        </w:rPr>
        <w:t xml:space="preserve"> con alumnos de 4º de ESO (alumnos de 15/16 años) y 1º de Bachillerato (alumnos de 16/17 </w:t>
      </w:r>
      <w:r w:rsidR="004839E6" w:rsidRPr="007F5DAA">
        <w:rPr>
          <w:lang w:val="es-CO"/>
        </w:rPr>
        <w:t>años) en</w:t>
      </w:r>
      <w:r w:rsidR="008E2F19" w:rsidRPr="007F5DAA">
        <w:rPr>
          <w:lang w:val="es-CO"/>
        </w:rPr>
        <w:t xml:space="preserve"> horario </w:t>
      </w:r>
      <w:r w:rsidR="004D260A" w:rsidRPr="007F5DAA">
        <w:rPr>
          <w:lang w:val="es-CO"/>
        </w:rPr>
        <w:t>extraescolar (</w:t>
      </w:r>
      <w:r w:rsidR="00C13DEC">
        <w:rPr>
          <w:lang w:val="es-CO"/>
        </w:rPr>
        <w:t>Autor, año</w:t>
      </w:r>
      <w:r w:rsidR="008E2F19" w:rsidRPr="007F5DAA">
        <w:rPr>
          <w:lang w:val="es-CO"/>
        </w:rPr>
        <w:t>)</w:t>
      </w:r>
      <w:r w:rsidR="00F27AD3">
        <w:rPr>
          <w:lang w:val="es-CO"/>
        </w:rPr>
        <w:t>,</w:t>
      </w:r>
      <w:r w:rsidR="008E2F19" w:rsidRPr="007F5DAA">
        <w:rPr>
          <w:lang w:val="es-CO"/>
        </w:rPr>
        <w:t xml:space="preserve"> y </w:t>
      </w:r>
    </w:p>
    <w:p w14:paraId="6FE514DA" w14:textId="4A6912A8" w:rsidR="008E2F19" w:rsidRDefault="00434B83" w:rsidP="007F5DAA">
      <w:pPr>
        <w:pStyle w:val="PargrafodaLista"/>
        <w:numPr>
          <w:ilvl w:val="0"/>
          <w:numId w:val="7"/>
        </w:numPr>
      </w:pPr>
      <w:r>
        <w:t>s</w:t>
      </w:r>
      <w:r w:rsidR="008E2F19">
        <w:t>egundo</w:t>
      </w:r>
      <w:r w:rsidR="00F05D5A">
        <w:t>,</w:t>
      </w:r>
      <w:r w:rsidR="008E2F19">
        <w:t xml:space="preserve"> con alumnos de 3º de ESO (14/15 años) dentro de una asignatura optativa titulada “Ampliación de matemáticas”.</w:t>
      </w:r>
    </w:p>
    <w:p w14:paraId="425DD420" w14:textId="1E2BFEC3" w:rsidR="008E2F19" w:rsidRDefault="008E2F19" w:rsidP="008E2F19">
      <w:r>
        <w:rPr>
          <w:lang w:val="es-CO"/>
        </w:rPr>
        <w:t>También,</w:t>
      </w:r>
      <w:r w:rsidRPr="008F7770">
        <w:rPr>
          <w:lang w:val="es-CO"/>
        </w:rPr>
        <w:t xml:space="preserve"> como parte de la investigación que estamos desarrollando, </w:t>
      </w:r>
      <w:r>
        <w:rPr>
          <w:lang w:val="es-CO"/>
        </w:rPr>
        <w:t xml:space="preserve">en </w:t>
      </w:r>
      <w:r w:rsidR="00C13DEC">
        <w:t>Autor (año</w:t>
      </w:r>
      <w:r w:rsidR="00C13DEC" w:rsidRPr="00763D3D">
        <w:t>)</w:t>
      </w:r>
      <w:r>
        <w:t xml:space="preserve"> </w:t>
      </w:r>
      <w:r>
        <w:rPr>
          <w:lang w:val="es-CO"/>
        </w:rPr>
        <w:t xml:space="preserve">hemos analizado y </w:t>
      </w:r>
      <w:r w:rsidRPr="003A5E3C">
        <w:rPr>
          <w:lang w:val="es-CO"/>
        </w:rPr>
        <w:t xml:space="preserve">estudiado </w:t>
      </w:r>
      <w:r w:rsidRPr="003A5E3C">
        <w:t>el problema de la</w:t>
      </w:r>
      <w:r w:rsidRPr="00967BDC">
        <w:t xml:space="preserve"> </w:t>
      </w:r>
      <w:r w:rsidRPr="002130B4">
        <w:rPr>
          <w:i/>
          <w:iCs/>
        </w:rPr>
        <w:t>ecología de la modelización espacio-geométrica</w:t>
      </w:r>
      <w:r w:rsidRPr="006642A8">
        <w:t xml:space="preserve">, esto </w:t>
      </w:r>
      <w:r w:rsidRPr="000F432B">
        <w:t xml:space="preserve">es, </w:t>
      </w:r>
      <w:r w:rsidR="003E0D9A" w:rsidRPr="000F432B">
        <w:t>de</w:t>
      </w:r>
      <w:r w:rsidRPr="000F432B">
        <w:t xml:space="preserve"> las</w:t>
      </w:r>
      <w:r w:rsidRPr="006642A8">
        <w:t xml:space="preserve"> condiciones que se requieren para que este tipo de modelización viva en la institución de la ESO</w:t>
      </w:r>
      <w:r>
        <w:t>. Hemos analizado, en particular,</w:t>
      </w:r>
      <w:r w:rsidRPr="006642A8">
        <w:t xml:space="preserve"> </w:t>
      </w:r>
      <w:r>
        <w:t>e</w:t>
      </w:r>
      <w:r w:rsidRPr="006642A8">
        <w:t xml:space="preserve">l papel que podrían desempeñar los </w:t>
      </w:r>
      <w:r w:rsidRPr="00967BDC">
        <w:t xml:space="preserve">problemas sobre la determinación y construcción de sólidos </w:t>
      </w:r>
      <w:r w:rsidRPr="006642A8">
        <w:t>en dicha institución</w:t>
      </w:r>
      <w:r w:rsidRPr="00967BDC">
        <w:t>.</w:t>
      </w:r>
    </w:p>
    <w:p w14:paraId="40EF415A" w14:textId="77777777" w:rsidR="008E3341" w:rsidRDefault="008E3341" w:rsidP="008E2F19"/>
    <w:p w14:paraId="32383670" w14:textId="0746EAAE" w:rsidR="00D544D0" w:rsidRDefault="00D544D0" w:rsidP="00D544D0">
      <w:pPr>
        <w:pStyle w:val="Ttulo1"/>
      </w:pPr>
      <w:r>
        <w:t>UN MER EN TORNO A LA DETERMINACIÓN Y CONSTRUCCIÓN DE SÓLIDOS</w:t>
      </w:r>
    </w:p>
    <w:p w14:paraId="4AA1A631" w14:textId="77777777" w:rsidR="005B6E35" w:rsidRDefault="005B6E35" w:rsidP="005B6E35">
      <w:r w:rsidRPr="002130B4">
        <w:t xml:space="preserve">Para la construcción del MER, nos hemos planteado una cuestión generatriz, que consideramos suficientemente viva y rica, en torno al problema espacial que supone </w:t>
      </w:r>
      <w:r w:rsidRPr="002130B4">
        <w:rPr>
          <w:i/>
          <w:iCs/>
        </w:rPr>
        <w:t>el diseño y elaboración de un envase</w:t>
      </w:r>
      <w:r w:rsidRPr="002130B4">
        <w:t xml:space="preserve">, pues </w:t>
      </w:r>
      <w:r w:rsidRPr="002130B4">
        <w:lastRenderedPageBreak/>
        <w:t xml:space="preserve">consideramos que dicho problema puede ser modelizado geométricamente, dando lugar a una posible articulación entre las geometrías 2D y 3D. Además, el hecho de que sea </w:t>
      </w:r>
      <w:r w:rsidRPr="002130B4">
        <w:rPr>
          <w:lang w:val="es-ES_tradnl"/>
        </w:rPr>
        <w:t>un tipo de problema abierto e inverso,</w:t>
      </w:r>
      <w:r>
        <w:rPr>
          <w:lang w:val="es-ES_tradnl"/>
        </w:rPr>
        <w:t xml:space="preserve"> </w:t>
      </w:r>
      <w:r w:rsidRPr="002130B4">
        <w:rPr>
          <w:lang w:val="es-ES_tradnl"/>
        </w:rPr>
        <w:t>con relación a los problemas escolares habituales</w:t>
      </w:r>
      <w:r>
        <w:rPr>
          <w:lang w:val="es-ES_tradnl"/>
        </w:rPr>
        <w:t xml:space="preserve">, </w:t>
      </w:r>
      <w:r w:rsidRPr="002130B4">
        <w:rPr>
          <w:lang w:val="es-ES_tradnl"/>
        </w:rPr>
        <w:t>y que esté planteado</w:t>
      </w:r>
      <w:r w:rsidRPr="002130B4" w:rsidDel="002130B4">
        <w:rPr>
          <w:lang w:val="es-ES_tradnl"/>
        </w:rPr>
        <w:t xml:space="preserve"> </w:t>
      </w:r>
      <w:r w:rsidRPr="002130B4">
        <w:rPr>
          <w:lang w:val="es-ES_tradnl"/>
        </w:rPr>
        <w:t>inicialmente en el espacio sensible,</w:t>
      </w:r>
      <w:r w:rsidRPr="002130B4">
        <w:t xml:space="preserve"> va a provocar el uso modelos algebraicos y funcionales.</w:t>
      </w:r>
      <w:r>
        <w:t xml:space="preserve"> </w:t>
      </w:r>
    </w:p>
    <w:p w14:paraId="36717E4B" w14:textId="5AAFE62E" w:rsidR="005B6E35" w:rsidRDefault="005B6E35" w:rsidP="005B6E35">
      <w:r w:rsidRPr="0084396A">
        <w:t>Dicho problema ha sido planteado anteriormente en los dos procesos de estudio que hemos implementado y ha sido avalado por la comunidad científica de expertos en didáctica de las matemáticas, como puede verificarse en</w:t>
      </w:r>
      <w:r w:rsidR="0050334C">
        <w:t xml:space="preserve"> Autor (año</w:t>
      </w:r>
      <w:r w:rsidR="0050334C" w:rsidRPr="00763D3D">
        <w:t>)</w:t>
      </w:r>
      <w:r w:rsidRPr="0084396A">
        <w:t>. Mostraremos que este problema espacial puede provocar tanto una modelización espacio-geométrica como el uso de modelos algebraico-funcionales</w:t>
      </w:r>
      <w:r>
        <w:t>.</w:t>
      </w:r>
    </w:p>
    <w:p w14:paraId="3B06CA94" w14:textId="77777777" w:rsidR="005B6E35" w:rsidRPr="00FF387A" w:rsidRDefault="005B6E35" w:rsidP="005B6E35">
      <w:r>
        <w:t>La cuestión generatriz del MER que proponemos es la siguiente:</w:t>
      </w:r>
    </w:p>
    <w:p w14:paraId="0E96669C" w14:textId="77777777" w:rsidR="005B6E35" w:rsidRDefault="005B6E35" w:rsidP="005B6E35">
      <w:pPr>
        <w:rPr>
          <w:i/>
          <w:iCs/>
        </w:rPr>
      </w:pPr>
      <w:r w:rsidRPr="008F2113">
        <w:rPr>
          <w:b/>
          <w:bCs/>
          <w:i/>
          <w:iCs/>
        </w:rPr>
        <w:t>Q</w:t>
      </w:r>
      <w:r w:rsidRPr="008F2113">
        <w:rPr>
          <w:i/>
          <w:iCs/>
          <w:vertAlign w:val="subscript"/>
        </w:rPr>
        <w:t>G</w:t>
      </w:r>
      <w:r w:rsidRPr="008F2113">
        <w:rPr>
          <w:i/>
          <w:iCs/>
        </w:rPr>
        <w:t xml:space="preserve"> = </w:t>
      </w:r>
      <w:r w:rsidRPr="00320685">
        <w:rPr>
          <w:i/>
          <w:iCs/>
        </w:rPr>
        <w:t xml:space="preserve">¿Cómo diseñar y construir un envase adecuado que tenga una capacidad o un volumen </w:t>
      </w:r>
      <w:r w:rsidRPr="008F2113">
        <w:rPr>
          <w:i/>
          <w:iCs/>
        </w:rPr>
        <w:t>predeterminado?</w:t>
      </w:r>
    </w:p>
    <w:p w14:paraId="3AEB3627" w14:textId="77777777" w:rsidR="005B6E35" w:rsidRPr="00E73E31" w:rsidRDefault="005B6E35" w:rsidP="005B6E35">
      <w:pPr>
        <w:rPr>
          <w:i/>
          <w:iCs/>
        </w:rPr>
      </w:pPr>
      <w:r w:rsidRPr="008B5EE7">
        <w:t xml:space="preserve">Responder a esta cuestión implica preguntarse, entre otras cosas, por lo que significa la condición de ser </w:t>
      </w:r>
      <w:r w:rsidRPr="008B5EE7">
        <w:rPr>
          <w:i/>
        </w:rPr>
        <w:t>adecuado</w:t>
      </w:r>
      <w:r w:rsidRPr="008B5EE7">
        <w:t xml:space="preserve">, que está relacionado con la función que ha de cumplir dicho envase y, presumiblemente, </w:t>
      </w:r>
      <w:r>
        <w:t>respecto de</w:t>
      </w:r>
      <w:r w:rsidRPr="008B5EE7">
        <w:t xml:space="preserve"> su forma. En efecto, si el envase a diseñar está</w:t>
      </w:r>
      <w:r>
        <w:t xml:space="preserve"> orientado, por </w:t>
      </w:r>
      <w:r w:rsidRPr="00B27FD8">
        <w:t>ejemplo, a ser recipiente de un líquido, seguramente este deberá responder a ciertas necesidades diferentes a las de un envase diseñado para contener un producto sólido. De hecho, podría haber una amplia clasificación dentro de estos dos tipos de contenidos, ya que el líquido a envasar podría o no contener gas, o si es un producto sólido, este podría estar compuesto por una sola o muchas piezas, como es el caso del material granulado.</w:t>
      </w:r>
    </w:p>
    <w:p w14:paraId="6C895AF2" w14:textId="77777777" w:rsidR="005B6E35" w:rsidRDefault="005B6E35" w:rsidP="005B6E35">
      <w:r>
        <w:tab/>
        <w:t xml:space="preserve">Por otro lado, la condición de ser adecuado no es absoluta, y menos en el problema que nos ocupa, ya que el envase más adecuado podría ser, por ejemplo, el que resulte más atractivo visualmente para el consumidor, aunque ello suponga un alza en los costes de fabricación o represente mayor impacto medioambiental. Por tanto, diseñar y construir un envase adecuado trae consigo, entre otros aspectos, la necesaria pregunta sobre (a) su función, (b) </w:t>
      </w:r>
      <w:r w:rsidRPr="008A2975">
        <w:t xml:space="preserve">el material </w:t>
      </w:r>
      <w:r>
        <w:t>con el que se fabricará y su optimización, (c) e</w:t>
      </w:r>
      <w:r w:rsidRPr="008A2975">
        <w:t>l impacto medioambiental</w:t>
      </w:r>
      <w:r>
        <w:t xml:space="preserve"> que puede provocar su uso, y (d) </w:t>
      </w:r>
      <w:r w:rsidRPr="008A2975">
        <w:t>el aprovechamiento del espacio</w:t>
      </w:r>
      <w:r>
        <w:t>, por ejemplo, durante</w:t>
      </w:r>
      <w:r w:rsidRPr="008A2975">
        <w:t xml:space="preserve"> </w:t>
      </w:r>
      <w:r>
        <w:t xml:space="preserve">el </w:t>
      </w:r>
      <w:r w:rsidRPr="008A2975">
        <w:t>apilamiento</w:t>
      </w:r>
      <w:r>
        <w:t xml:space="preserve"> para su almacenamiento y transporte</w:t>
      </w:r>
      <w:r w:rsidRPr="008A2975">
        <w:t>.</w:t>
      </w:r>
      <w:r>
        <w:t xml:space="preserve"> </w:t>
      </w:r>
      <w:r w:rsidRPr="007A18AF">
        <w:t xml:space="preserve">Es decir, el diseño y construcción de un envase </w:t>
      </w:r>
      <w:r w:rsidRPr="0084396A">
        <w:rPr>
          <w:i/>
          <w:iCs/>
        </w:rPr>
        <w:t>adecuado</w:t>
      </w:r>
      <w:r w:rsidRPr="007A18AF">
        <w:t xml:space="preserve"> supone tener en cuenta diversos factores con diferente grado de relevancia que, seguramente, implicarán la utilización de saberes de diferentes sectores de las </w:t>
      </w:r>
      <w:r w:rsidRPr="007A18AF">
        <w:lastRenderedPageBreak/>
        <w:t>matemáticas como la geometría, la aritmética, el álgebra, etc., así como saberes de otras disciplinas como la química, la biología, el márquetin, etc.</w:t>
      </w:r>
      <w:r>
        <w:t xml:space="preserve"> </w:t>
      </w:r>
    </w:p>
    <w:p w14:paraId="6C72DB84" w14:textId="6725F878" w:rsidR="005B6E35" w:rsidRDefault="005B6E35" w:rsidP="005B6E35">
      <w:r>
        <w:t xml:space="preserve">Con respecto a los saberes que pudieran ser de utilidad para responder a </w:t>
      </w:r>
      <w:r w:rsidRPr="001F09DC">
        <w:rPr>
          <w:i/>
          <w:iCs/>
        </w:rPr>
        <w:t>Q</w:t>
      </w:r>
      <w:r w:rsidRPr="001F09DC">
        <w:rPr>
          <w:i/>
          <w:iCs/>
          <w:vertAlign w:val="subscript"/>
        </w:rPr>
        <w:t>G</w:t>
      </w:r>
      <w:r>
        <w:t xml:space="preserve">, hemos decidido partir de la revisión de algunas de las guías sobre el diseño de envases y embalajes que actualmente se encuentran en Internet como </w:t>
      </w:r>
      <w:r>
        <w:fldChar w:fldCharType="begin" w:fldLock="1"/>
      </w:r>
      <w:r w:rsidR="0098536E">
        <w:instrText>ADDIN CSL_CITATION {"citationItems":[{"id":"ITEM-1","itemData":{"abstract":"La presente guía es parte de las actuaciones contempladas en el proyecto: Programa de Promoción del Diseño de Envases y Embalajes en la Empresa Valenciana – ECODISPACK, enmarcado en el Programa de Promoción del Diseño 2007 de la Generalitat Valenciana-IMPIVA. Nº exp. IMPCDA/2007/1 RIESGOS DERIVADOS DE LA DISTRIBUCIÓN PRÓLOGO OBJETIVOS DE LA GUÍA El entorno al que un producto debe sobrevivir desde que es fabricado hasta que llega al cliente final (etapa de distribución) puede resultar muy severo. El sistema producto – embalaje, deberá ser capaz de soportar sin sufrir excesivos daños, compresiones, vibraciones, humedad, electricidad estática, calor, frío, cambios de presión, impactos por caídas, inestabilidad, infestación, etc. Resaltar que el uso cada vez mayor de envases y embalajes, debido a ciclos de distribución más largos, así como por las demandas de calidad y protección del producto, han hecho que los residuos derivados de los mismos tras su uso aumenten considerablemente en los últimos años. Todo ello hace que sea cada vez más importante la integración del medio ambiente como factor clave en el diseño de los envases y embalajes. Hasta el momento se han desarrollado numerosas metodologías y técnicas que facilitan esta integración, una de las más novedosas y de éxito contrastado es el Ecodiseño. A pesar de que muchas empresas consideran el embalaje como un aspecto muy importante a tener en cuenta, existe al mismo tiempo y de forma generalizada la idea de que el sistema de envase y embalaje del producto, es más un \" gasto inútil \" o un \" problema \" antes que un valor añadido al producto, o inversión rentable a corto plazo.","author":[{"dropping-particle":"","family":"Navarro","given":"Patricia","non-dropping-particle":"","parse-names":false,"suffix":""},{"dropping-particle":"","family":"Garcia-Romeu","given":"Manuel","non-dropping-particle":"","parse-names":false,"suffix":""},{"dropping-particle":"","family":"Alcaraz","given":"Juan","non-dropping-particle":"","parse-names":false,"suffix":""},{"dropping-particle":"","family":"la Cruz","given":"Enrique","non-dropping-particle":"de","parse-names":false,"suffix":""},{"dropping-particle":"","family":"Ferreira","given":"Beatriz","non-dropping-particle":"","parse-names":false,"suffix":""},{"dropping-particle":"","family":"Hortal","given":"Mercedes","non-dropping-particle":"","parse-names":false,"suffix":""}],"id":"ITEM-1","issued":{"date-parts":[["2007"]]},"note":"Verificar si puede ponerse como un libro","number-of-pages":"40","publisher":"Instituto tecnológico del embalaje, transporte y logística","title":"Guía práctica de diseño de envases y embalajes para la distribución de productos","type":"book"},"uris":["http://www.mendeley.com/documents/?uuid=e2323bbd-3a2d-4e90-825e-e395aa97a814"]}],"mendeley":{"formattedCitation":"(Navarro et al., 2007)","manualFormatting":"Navarro et al. (2007)","plainTextFormattedCitation":"(Navarro et al., 2007)","previouslyFormattedCitation":"(Navarro et al., 2007)"},"properties":{"noteIndex":0},"schema":"https://github.com/citation-style-language/schema/raw/master/csl-citation.json"}</w:instrText>
      </w:r>
      <w:r>
        <w:fldChar w:fldCharType="separate"/>
      </w:r>
      <w:r w:rsidRPr="003A4223">
        <w:rPr>
          <w:noProof/>
        </w:rPr>
        <w:t xml:space="preserve">Navarro et al. </w:t>
      </w:r>
      <w:r w:rsidR="0098536E">
        <w:rPr>
          <w:noProof/>
        </w:rPr>
        <w:t>(</w:t>
      </w:r>
      <w:r w:rsidRPr="003A4223">
        <w:rPr>
          <w:noProof/>
        </w:rPr>
        <w:t>2007)</w:t>
      </w:r>
      <w:r>
        <w:fldChar w:fldCharType="end"/>
      </w:r>
      <w:r>
        <w:t xml:space="preserve">, </w:t>
      </w:r>
      <w:r>
        <w:fldChar w:fldCharType="begin" w:fldLock="1"/>
      </w:r>
      <w:r w:rsidR="0098536E">
        <w:instrText>ADDIN CSL_CITATION {"citationItems":[{"id":"ITEM-1","itemData":{"author":[{"dropping-particle":"","family":"Bertomeu-Camós","given":"Manel","non-dropping-particle":"","parse-names":false,"suffix":""},{"dropping-particle":"","family":"Fortuny Cuadra","given":"Aleix","non-dropping-particle":"","parse-names":false,"suffix":""}],"id":"ITEM-1","issued":{"date-parts":[["2016"]]},"note":"Verificar si puede ponerse como un libro","publisher":"ECOEMBES","publisher-place":"Madrid, España","title":"El proyecto de desarrollo de packaging","type":"book"},"uris":["http://www.mendeley.com/documents/?uuid=f08b3c05-82dd-4d19-b4ea-aa71fc878023"]}],"mendeley":{"formattedCitation":"(Bertomeu-Camós &amp; Fortuny Cuadra, 2016)","manualFormatting":"Bertomeu-Camós y Fortuny Cuadra (2016)","plainTextFormattedCitation":"(Bertomeu-Camós &amp; Fortuny Cuadra, 2016)","previouslyFormattedCitation":"(Bertomeu-Camós &amp; Fortuny Cuadra, 2016)"},"properties":{"noteIndex":0},"schema":"https://github.com/citation-style-language/schema/raw/master/csl-citation.json"}</w:instrText>
      </w:r>
      <w:r>
        <w:fldChar w:fldCharType="separate"/>
      </w:r>
      <w:r w:rsidRPr="00B44777">
        <w:rPr>
          <w:noProof/>
        </w:rPr>
        <w:t xml:space="preserve">Bertomeu-Camós </w:t>
      </w:r>
      <w:r w:rsidR="0098536E">
        <w:rPr>
          <w:noProof/>
        </w:rPr>
        <w:t>y</w:t>
      </w:r>
      <w:r w:rsidRPr="00B44777">
        <w:rPr>
          <w:noProof/>
        </w:rPr>
        <w:t xml:space="preserve"> Fortuny Cuadra </w:t>
      </w:r>
      <w:r w:rsidR="0098536E">
        <w:rPr>
          <w:noProof/>
        </w:rPr>
        <w:t>(</w:t>
      </w:r>
      <w:r w:rsidRPr="00B44777">
        <w:rPr>
          <w:noProof/>
        </w:rPr>
        <w:t>2016)</w:t>
      </w:r>
      <w:r>
        <w:fldChar w:fldCharType="end"/>
      </w:r>
      <w:r>
        <w:t xml:space="preserve"> y </w:t>
      </w:r>
      <w:r>
        <w:fldChar w:fldCharType="begin" w:fldLock="1"/>
      </w:r>
      <w:r w:rsidR="00AB14A2">
        <w:instrText>ADDIN CSL_CITATION {"citationItems":[{"id":"ITEM-1","itemData":{"abstract":"Esta guía de ecodiseño de envases pretende ofrecer ayuda y orientación para aplicar el ecodiseño a todas aquellas empresas que ponen en el mercado productos envasados. Para asegurar un enfoque práctico, la guía cuenta con tres experiencias reales de aplicación, abordando el proyecto desde tres perspectivas diferentes: una empresa fabricante de envases, una empresa envasadora y una empresa de distribución de productos envasados.","author":[{"dropping-particle":"","family":"IHOBE S. A.","given":"","non-dropping-particle":"","parse-names":false,"suffix":""},{"dropping-particle":"","family":"ECOEMBES","given":"","non-dropping-particle":"","parse-names":false,"suffix":""}],"id":"ITEM-1","issued":{"date-parts":[["2017"]]},"note":"Verificar si puede ponerse como un libro","number-of-pages":"88","publisher":"ECOEMBES","title":"Guía de ecodiseño de envases y embalajes","type":"book"},"uris":["http://www.mendeley.com/documents/?uuid=bbad2246-c8be-41cf-a91e-fe55ce4bdac8"]}],"mendeley":{"formattedCitation":"(IHOBE S. A. &amp; ECOEMBES, 2017)","manualFormatting":"Ihobe S. A. y Ecoembes (2017)","plainTextFormattedCitation":"(IHOBE S. A. &amp; ECOEMBES, 2017)","previouslyFormattedCitation":"(IHOBE S. A. &amp; ECOEMBES, 2017)"},"properties":{"noteIndex":0},"schema":"https://github.com/citation-style-language/schema/raw/master/csl-citation.json"}</w:instrText>
      </w:r>
      <w:r>
        <w:fldChar w:fldCharType="separate"/>
      </w:r>
      <w:r w:rsidRPr="00254773">
        <w:rPr>
          <w:noProof/>
        </w:rPr>
        <w:t>I</w:t>
      </w:r>
      <w:r>
        <w:rPr>
          <w:noProof/>
        </w:rPr>
        <w:t>hobe</w:t>
      </w:r>
      <w:r w:rsidRPr="00254773">
        <w:rPr>
          <w:noProof/>
        </w:rPr>
        <w:t xml:space="preserve"> S. A. </w:t>
      </w:r>
      <w:r w:rsidR="0098536E">
        <w:rPr>
          <w:noProof/>
        </w:rPr>
        <w:t>y</w:t>
      </w:r>
      <w:r w:rsidRPr="00254773">
        <w:rPr>
          <w:noProof/>
        </w:rPr>
        <w:t xml:space="preserve"> E</w:t>
      </w:r>
      <w:r>
        <w:rPr>
          <w:noProof/>
        </w:rPr>
        <w:t>coembes</w:t>
      </w:r>
      <w:r w:rsidRPr="00254773">
        <w:rPr>
          <w:noProof/>
        </w:rPr>
        <w:t xml:space="preserve"> </w:t>
      </w:r>
      <w:r w:rsidR="0098536E">
        <w:rPr>
          <w:noProof/>
        </w:rPr>
        <w:t>(</w:t>
      </w:r>
      <w:r w:rsidRPr="00254773">
        <w:rPr>
          <w:noProof/>
        </w:rPr>
        <w:t>2017)</w:t>
      </w:r>
      <w:r>
        <w:fldChar w:fldCharType="end"/>
      </w:r>
      <w:r>
        <w:t>, que nos pueden aportar en la búsqueda de una respuesta a la cuestión generatriz.</w:t>
      </w:r>
    </w:p>
    <w:p w14:paraId="0D5C3C7C" w14:textId="77777777" w:rsidR="005B6E35" w:rsidRDefault="005B6E35" w:rsidP="005B6E35">
      <w:r>
        <w:t xml:space="preserve">En estas guías se presenta un amplio abanico de condiciones que ha de tenerse en cuenta en el momento de diseñar un envase, como, por ejemplo, que dicho diseño debe ser factible, deseable y sostenible. Es decir, que debe poderse fabricar y ser rentable, que debe responder a las necesidades del consumidor, y que debe optimizar el uso de recursos al tiempo que reduce el impacto medioambiental. Ello, por supuesto, configura un problema espacial complejo con múltiples variables, entre las que podríamos destacar la forma del envase, su tamaño y su composición.  </w:t>
      </w:r>
      <w:r w:rsidRPr="004B3478">
        <w:t xml:space="preserve">Sin embargo, por ahora, solo incluiremos las que se </w:t>
      </w:r>
      <w:r>
        <w:t>relacionan</w:t>
      </w:r>
      <w:r w:rsidRPr="004B3478">
        <w:t xml:space="preserve"> con la condición de ser adecuado, y aquellas que consideramos pueden suponer la puesta en marcha de varios de los saberes geométricos propuestos para ser enseñados en el </w:t>
      </w:r>
      <w:r>
        <w:t xml:space="preserve">nuevo </w:t>
      </w:r>
      <w:r w:rsidRPr="004B3478">
        <w:t>currículo de la ESO</w:t>
      </w:r>
      <w:r>
        <w:t xml:space="preserve"> (</w:t>
      </w:r>
      <w:r w:rsidRPr="001A2A63">
        <w:rPr>
          <w:rFonts w:cs="Times New Roman"/>
        </w:rPr>
        <w:t>MEFP</w:t>
      </w:r>
      <w:r>
        <w:rPr>
          <w:rFonts w:cs="Times New Roman"/>
        </w:rPr>
        <w:t xml:space="preserve">, </w:t>
      </w:r>
      <w:r w:rsidRPr="001A2A63">
        <w:rPr>
          <w:rFonts w:cs="Times New Roman"/>
        </w:rPr>
        <w:t>2022</w:t>
      </w:r>
      <w:r>
        <w:rPr>
          <w:rFonts w:cs="Times New Roman"/>
        </w:rPr>
        <w:t>)</w:t>
      </w:r>
      <w:r>
        <w:t xml:space="preserve">. Así, en la búsqueda de una respuesta a </w:t>
      </w:r>
      <w:r>
        <w:rPr>
          <w:i/>
          <w:iCs/>
        </w:rPr>
        <w:t>Q</w:t>
      </w:r>
      <w:r w:rsidRPr="003C137A">
        <w:rPr>
          <w:i/>
          <w:iCs/>
          <w:vertAlign w:val="subscript"/>
        </w:rPr>
        <w:t>G</w:t>
      </w:r>
      <w:r w:rsidRPr="00AC7AE2">
        <w:t xml:space="preserve">, </w:t>
      </w:r>
      <w:r>
        <w:t>no abordaremos asuntos tales como:</w:t>
      </w:r>
    </w:p>
    <w:p w14:paraId="15B138C9" w14:textId="77777777" w:rsidR="00AB14A2" w:rsidRDefault="005B6E35" w:rsidP="00AB14A2">
      <w:pPr>
        <w:pStyle w:val="PargrafodaLista"/>
        <w:numPr>
          <w:ilvl w:val="0"/>
          <w:numId w:val="12"/>
        </w:numPr>
      </w:pPr>
      <w:r>
        <w:t>El tipo de material del que está compuesto el envase.</w:t>
      </w:r>
    </w:p>
    <w:p w14:paraId="5554105E" w14:textId="77777777" w:rsidR="00AB14A2" w:rsidRDefault="005B6E35" w:rsidP="00AB14A2">
      <w:pPr>
        <w:pStyle w:val="PargrafodaLista"/>
        <w:numPr>
          <w:ilvl w:val="0"/>
          <w:numId w:val="12"/>
        </w:numPr>
      </w:pPr>
      <w:r>
        <w:t>El tipo de producto que contendrá el envase.</w:t>
      </w:r>
    </w:p>
    <w:p w14:paraId="4B311116" w14:textId="4904B9AD" w:rsidR="005B6E35" w:rsidRDefault="005B6E35" w:rsidP="00AB14A2">
      <w:pPr>
        <w:pStyle w:val="PargrafodaLista"/>
        <w:numPr>
          <w:ilvl w:val="0"/>
          <w:numId w:val="12"/>
        </w:numPr>
      </w:pPr>
      <w:r>
        <w:t xml:space="preserve">La </w:t>
      </w:r>
      <w:r w:rsidRPr="00AB14A2">
        <w:rPr>
          <w:iCs/>
        </w:rPr>
        <w:t>mercadotecnia</w:t>
      </w:r>
      <w:r w:rsidRPr="00AB14A2">
        <w:rPr>
          <w:i/>
        </w:rPr>
        <w:t xml:space="preserve"> </w:t>
      </w:r>
      <w:r>
        <w:t>relacionada con el producto a envasar.</w:t>
      </w:r>
    </w:p>
    <w:p w14:paraId="34695F45" w14:textId="77777777" w:rsidR="005B6E35" w:rsidRDefault="005B6E35" w:rsidP="005B6E35">
      <w:r>
        <w:t xml:space="preserve">Adicionalmente, teniendo en cuenta que en el ecodiseño de envases se contempla un sistema de tres tipos de envasado: primario o de </w:t>
      </w:r>
      <w:r w:rsidRPr="00E263E0">
        <w:t>venta</w:t>
      </w:r>
      <w:r w:rsidRPr="00865A8D">
        <w:t>,</w:t>
      </w:r>
      <w:r w:rsidRPr="00E263E0">
        <w:t xml:space="preserve"> secundario o de agrupación</w:t>
      </w:r>
      <w:r w:rsidRPr="00865A8D">
        <w:t>,</w:t>
      </w:r>
      <w:r w:rsidRPr="00E263E0">
        <w:t xml:space="preserve"> y terciario</w:t>
      </w:r>
      <w:r>
        <w:t xml:space="preserve"> o de </w:t>
      </w:r>
      <w:r w:rsidRPr="00E57B36">
        <w:t>transporte, nos</w:t>
      </w:r>
      <w:r>
        <w:t xml:space="preserve"> centraremos en el diseño y elaboración de un envase de tipo primario, dado que los otros dos tipos de envases suelen tener formas </w:t>
      </w:r>
      <w:proofErr w:type="spellStart"/>
      <w:r w:rsidRPr="005D46C6">
        <w:t>ortoédricas</w:t>
      </w:r>
      <w:proofErr w:type="spellEnd"/>
      <w:r w:rsidRPr="005D46C6">
        <w:t xml:space="preserve"> y la determinación y construcción de los sólidos </w:t>
      </w:r>
      <w:proofErr w:type="spellStart"/>
      <w:r w:rsidRPr="005D46C6">
        <w:t>ortoédricos</w:t>
      </w:r>
      <w:proofErr w:type="spellEnd"/>
      <w:r w:rsidRPr="005D46C6">
        <w:t xml:space="preserve"> es una de las más sencillas y, por tanto, reduce las posibilidades de desarrollar la actividad de modelización espacio-geométrica y su relación con los modelos algebraico-funcionales. </w:t>
      </w:r>
    </w:p>
    <w:p w14:paraId="4978B195" w14:textId="77777777" w:rsidR="005B6E35" w:rsidRDefault="005B6E35" w:rsidP="005B6E35">
      <w:r>
        <w:lastRenderedPageBreak/>
        <w:t xml:space="preserve">Tras estas primeras consideraciones, estimamos que la búsqueda de una posible repuesta a </w:t>
      </w:r>
      <w:r w:rsidRPr="001E3C6B">
        <w:rPr>
          <w:b/>
          <w:bCs/>
          <w:i/>
          <w:iCs/>
        </w:rPr>
        <w:t>Q</w:t>
      </w:r>
      <w:r>
        <w:rPr>
          <w:i/>
          <w:iCs/>
          <w:vertAlign w:val="subscript"/>
        </w:rPr>
        <w:t>G</w:t>
      </w:r>
      <w:r>
        <w:t xml:space="preserve"> supone, a su vez, el planteamiento de otras cuestiones derivadas</w:t>
      </w:r>
      <w:r>
        <w:rPr>
          <w:rStyle w:val="Refdenotaderodap"/>
        </w:rPr>
        <w:footnoteReference w:id="2"/>
      </w:r>
      <w:r>
        <w:t>. A saber:</w:t>
      </w:r>
    </w:p>
    <w:p w14:paraId="364180F7" w14:textId="77777777" w:rsidR="005B6E35" w:rsidRPr="005C0B55" w:rsidRDefault="005B6E35" w:rsidP="005B6E35">
      <w:pPr>
        <w:rPr>
          <w:i/>
          <w:iCs/>
        </w:rPr>
      </w:pPr>
      <w:r w:rsidRPr="001E3C6B">
        <w:rPr>
          <w:b/>
          <w:bCs/>
          <w:i/>
          <w:iCs/>
        </w:rPr>
        <w:t>Q</w:t>
      </w:r>
      <w:r w:rsidRPr="00861139">
        <w:rPr>
          <w:vertAlign w:val="subscript"/>
        </w:rPr>
        <w:t>1</w:t>
      </w:r>
      <w:r w:rsidRPr="005C0B55">
        <w:rPr>
          <w:i/>
          <w:iCs/>
        </w:rPr>
        <w:t xml:space="preserve"> = ¿Qué tipo de sólido podemos elegir para dicho envase?</w:t>
      </w:r>
    </w:p>
    <w:p w14:paraId="09FD436C" w14:textId="77777777" w:rsidR="005B6E35" w:rsidRDefault="005B6E35" w:rsidP="00007D11">
      <w:pPr>
        <w:ind w:left="709"/>
        <w:rPr>
          <w:i/>
          <w:iCs/>
        </w:rPr>
      </w:pPr>
      <w:r w:rsidRPr="001E3C6B">
        <w:rPr>
          <w:b/>
          <w:bCs/>
          <w:i/>
          <w:iCs/>
        </w:rPr>
        <w:t>Q</w:t>
      </w:r>
      <w:r w:rsidRPr="00162CF3">
        <w:rPr>
          <w:vertAlign w:val="subscript"/>
        </w:rPr>
        <w:t>1</w:t>
      </w:r>
      <w:r w:rsidRPr="00C97796">
        <w:rPr>
          <w:vertAlign w:val="subscript"/>
        </w:rPr>
        <w:t>1</w:t>
      </w:r>
      <w:r w:rsidRPr="005C0B55">
        <w:rPr>
          <w:i/>
          <w:iCs/>
        </w:rPr>
        <w:t xml:space="preserve"> = ¿Qué tipos de clases de sólidos geométricos hay?</w:t>
      </w:r>
    </w:p>
    <w:p w14:paraId="541048D8" w14:textId="77777777" w:rsidR="005B6E35" w:rsidRDefault="005B6E35" w:rsidP="00007D11">
      <w:pPr>
        <w:ind w:left="1418" w:firstLine="0"/>
        <w:rPr>
          <w:i/>
          <w:iCs/>
        </w:rPr>
      </w:pPr>
      <w:r w:rsidRPr="001E3C6B">
        <w:rPr>
          <w:b/>
          <w:bCs/>
          <w:i/>
          <w:iCs/>
        </w:rPr>
        <w:t>Q</w:t>
      </w:r>
      <w:r w:rsidRPr="00861139">
        <w:rPr>
          <w:vertAlign w:val="subscript"/>
        </w:rPr>
        <w:t>12</w:t>
      </w:r>
      <w:r w:rsidRPr="005C0B55">
        <w:rPr>
          <w:i/>
          <w:iCs/>
        </w:rPr>
        <w:t xml:space="preserve"> = ¿Qué </w:t>
      </w:r>
      <w:r>
        <w:rPr>
          <w:i/>
          <w:iCs/>
        </w:rPr>
        <w:t>elementos nos permiten describir un</w:t>
      </w:r>
      <w:r w:rsidRPr="005C0B55">
        <w:rPr>
          <w:i/>
          <w:iCs/>
        </w:rPr>
        <w:t xml:space="preserve"> sólido </w:t>
      </w:r>
      <w:r>
        <w:rPr>
          <w:i/>
          <w:iCs/>
        </w:rPr>
        <w:t>en geometría</w:t>
      </w:r>
      <w:r w:rsidRPr="005C0B55">
        <w:rPr>
          <w:i/>
          <w:iCs/>
        </w:rPr>
        <w:t>?</w:t>
      </w:r>
    </w:p>
    <w:p w14:paraId="0FC772AB" w14:textId="77777777" w:rsidR="005B6E35" w:rsidRDefault="005B6E35" w:rsidP="00007D11">
      <w:pPr>
        <w:ind w:left="1418" w:firstLine="0"/>
        <w:rPr>
          <w:i/>
          <w:iCs/>
        </w:rPr>
      </w:pPr>
      <w:r w:rsidRPr="001E3C6B">
        <w:rPr>
          <w:b/>
          <w:bCs/>
          <w:i/>
          <w:iCs/>
        </w:rPr>
        <w:t>Q</w:t>
      </w:r>
      <w:r w:rsidRPr="00861139">
        <w:rPr>
          <w:vertAlign w:val="subscript"/>
        </w:rPr>
        <w:t>13</w:t>
      </w:r>
      <w:r w:rsidRPr="005C0B55">
        <w:rPr>
          <w:i/>
          <w:iCs/>
        </w:rPr>
        <w:t xml:space="preserve"> = ¿</w:t>
      </w:r>
      <w:r>
        <w:rPr>
          <w:i/>
          <w:iCs/>
        </w:rPr>
        <w:t>Cuáles son los sólidos que se estudian en geometría en la ESO</w:t>
      </w:r>
      <w:r w:rsidRPr="005C0B55">
        <w:rPr>
          <w:i/>
          <w:iCs/>
        </w:rPr>
        <w:t>?</w:t>
      </w:r>
    </w:p>
    <w:p w14:paraId="7186C8AF" w14:textId="77777777" w:rsidR="005B6E35" w:rsidRPr="005C0B55" w:rsidRDefault="005B6E35" w:rsidP="00007D11">
      <w:pPr>
        <w:ind w:left="709" w:firstLine="0"/>
        <w:rPr>
          <w:i/>
          <w:iCs/>
        </w:rPr>
      </w:pPr>
      <w:r w:rsidRPr="001E3C6B">
        <w:rPr>
          <w:b/>
          <w:bCs/>
          <w:i/>
          <w:iCs/>
        </w:rPr>
        <w:t>Q</w:t>
      </w:r>
      <w:r w:rsidRPr="00861139">
        <w:rPr>
          <w:vertAlign w:val="subscript"/>
        </w:rPr>
        <w:t>2</w:t>
      </w:r>
      <w:r w:rsidRPr="005C0B55">
        <w:rPr>
          <w:i/>
          <w:iCs/>
        </w:rPr>
        <w:t xml:space="preserve"> = </w:t>
      </w:r>
      <w:r>
        <w:rPr>
          <w:i/>
          <w:iCs/>
        </w:rPr>
        <w:t xml:space="preserve">Una vez elegido el tipo de sólido, </w:t>
      </w:r>
      <w:r w:rsidRPr="005C0B55">
        <w:rPr>
          <w:i/>
          <w:iCs/>
        </w:rPr>
        <w:t>¿</w:t>
      </w:r>
      <w:r>
        <w:rPr>
          <w:i/>
          <w:iCs/>
        </w:rPr>
        <w:t>c</w:t>
      </w:r>
      <w:r w:rsidRPr="005C0B55">
        <w:rPr>
          <w:i/>
          <w:iCs/>
        </w:rPr>
        <w:t>ómo determinar la forma y el</w:t>
      </w:r>
      <w:r w:rsidRPr="002221CB">
        <w:t xml:space="preserve"> </w:t>
      </w:r>
      <w:r w:rsidRPr="002221CB">
        <w:rPr>
          <w:i/>
          <w:iCs/>
        </w:rPr>
        <w:t>tamaño de los sólidos que forman parte de ese tipo?</w:t>
      </w:r>
    </w:p>
    <w:p w14:paraId="5ACDD51D" w14:textId="77777777" w:rsidR="005B6E35" w:rsidRPr="000F432B" w:rsidRDefault="005B6E35" w:rsidP="00007D11">
      <w:pPr>
        <w:ind w:left="1418" w:firstLine="0"/>
        <w:rPr>
          <w:i/>
          <w:iCs/>
        </w:rPr>
      </w:pPr>
      <w:r w:rsidRPr="000F432B">
        <w:rPr>
          <w:b/>
          <w:bCs/>
          <w:i/>
          <w:iCs/>
        </w:rPr>
        <w:t>Q</w:t>
      </w:r>
      <w:r w:rsidRPr="000F432B">
        <w:rPr>
          <w:vertAlign w:val="subscript"/>
        </w:rPr>
        <w:t>21</w:t>
      </w:r>
      <w:r w:rsidRPr="000F432B">
        <w:rPr>
          <w:i/>
          <w:iCs/>
        </w:rPr>
        <w:t xml:space="preserve"> = ¿Qué y cuántos datos necesitamos para determinar la forma y el tamaño de un sólido de cierto tipo? </w:t>
      </w:r>
    </w:p>
    <w:p w14:paraId="257596F9" w14:textId="77777777" w:rsidR="005B6E35" w:rsidRPr="000F432B" w:rsidRDefault="005B6E35" w:rsidP="00EF787B">
      <w:pPr>
        <w:ind w:left="709" w:firstLine="0"/>
        <w:rPr>
          <w:i/>
          <w:iCs/>
        </w:rPr>
      </w:pPr>
      <w:r w:rsidRPr="000F432B">
        <w:rPr>
          <w:b/>
          <w:bCs/>
          <w:i/>
          <w:iCs/>
        </w:rPr>
        <w:t>Q</w:t>
      </w:r>
      <w:r w:rsidRPr="000F432B">
        <w:rPr>
          <w:vertAlign w:val="subscript"/>
        </w:rPr>
        <w:t>3</w:t>
      </w:r>
      <w:r w:rsidRPr="000F432B">
        <w:rPr>
          <w:i/>
          <w:iCs/>
        </w:rPr>
        <w:t xml:space="preserve"> = ¿Cómo diseñar y construir el envase, de manera que este tenga una capacidad de L ml o un volumen de V cm</w:t>
      </w:r>
      <w:r w:rsidRPr="000F432B">
        <w:rPr>
          <w:i/>
          <w:iCs/>
          <w:vertAlign w:val="superscript"/>
        </w:rPr>
        <w:t>3</w:t>
      </w:r>
      <w:r w:rsidRPr="000F432B">
        <w:rPr>
          <w:i/>
          <w:iCs/>
        </w:rPr>
        <w:t>?</w:t>
      </w:r>
    </w:p>
    <w:p w14:paraId="2B2D9557" w14:textId="77777777" w:rsidR="005B6E35" w:rsidRPr="000F432B" w:rsidRDefault="005B6E35" w:rsidP="00007D11">
      <w:pPr>
        <w:ind w:left="1418" w:firstLine="0"/>
        <w:rPr>
          <w:i/>
          <w:iCs/>
        </w:rPr>
      </w:pPr>
      <w:r w:rsidRPr="000F432B">
        <w:rPr>
          <w:b/>
          <w:bCs/>
          <w:i/>
          <w:iCs/>
        </w:rPr>
        <w:t>Q</w:t>
      </w:r>
      <w:r w:rsidRPr="000F432B">
        <w:rPr>
          <w:vertAlign w:val="subscript"/>
        </w:rPr>
        <w:t>31</w:t>
      </w:r>
      <w:r w:rsidRPr="000F432B">
        <w:rPr>
          <w:i/>
          <w:iCs/>
        </w:rPr>
        <w:t xml:space="preserve"> = ¿Cómo diseñar y construir un envase con una forma determinada, de manera que este tenga una capacidad de L ml o un volumen de V cm</w:t>
      </w:r>
      <w:r w:rsidRPr="000F432B">
        <w:rPr>
          <w:i/>
          <w:iCs/>
          <w:vertAlign w:val="superscript"/>
        </w:rPr>
        <w:t>3</w:t>
      </w:r>
      <w:r w:rsidRPr="000F432B">
        <w:rPr>
          <w:i/>
          <w:iCs/>
        </w:rPr>
        <w:t>?</w:t>
      </w:r>
    </w:p>
    <w:p w14:paraId="0EC6FE01" w14:textId="58C4A424" w:rsidR="005B6E35" w:rsidRDefault="005B6E35" w:rsidP="005B6E35">
      <w:r w:rsidRPr="000F432B">
        <w:t>En lo que sigue, abordaremos cada una de las cuestiones anteriores y las que necesariamente surjan a lo</w:t>
      </w:r>
      <w:r w:rsidRPr="00591C41">
        <w:t xml:space="preserve"> largo de su estudio, a fin de elaborar una respuesta razonada a </w:t>
      </w:r>
      <w:r w:rsidRPr="00591C41">
        <w:rPr>
          <w:i/>
          <w:iCs/>
        </w:rPr>
        <w:t>Q</w:t>
      </w:r>
      <w:r w:rsidRPr="00591C41">
        <w:rPr>
          <w:i/>
          <w:iCs/>
          <w:vertAlign w:val="subscript"/>
        </w:rPr>
        <w:t>G</w:t>
      </w:r>
      <w:r w:rsidRPr="00591C41">
        <w:t xml:space="preserve">. Por ejemplo, a partir de </w:t>
      </w:r>
      <w:r w:rsidRPr="00E4346D">
        <w:rPr>
          <w:b/>
          <w:bCs/>
          <w:i/>
          <w:iCs/>
        </w:rPr>
        <w:t>Q</w:t>
      </w:r>
      <w:r w:rsidRPr="00E4346D">
        <w:rPr>
          <w:vertAlign w:val="subscript"/>
        </w:rPr>
        <w:t>31</w:t>
      </w:r>
      <w:r w:rsidRPr="00591C41">
        <w:t>, podrían derivarse varias cuestiones específicas para una forma particular elegida. Esto es:</w:t>
      </w:r>
    </w:p>
    <w:p w14:paraId="030B2636" w14:textId="77777777" w:rsidR="005B6E35" w:rsidRDefault="005B6E35" w:rsidP="00007D11">
      <w:pPr>
        <w:ind w:left="1418" w:firstLine="0"/>
        <w:rPr>
          <w:i/>
          <w:iCs/>
        </w:rPr>
      </w:pPr>
      <w:r w:rsidRPr="00E4346D">
        <w:rPr>
          <w:b/>
          <w:bCs/>
          <w:i/>
          <w:iCs/>
        </w:rPr>
        <w:t>Q</w:t>
      </w:r>
      <w:r w:rsidRPr="00861139">
        <w:rPr>
          <w:vertAlign w:val="subscript"/>
        </w:rPr>
        <w:t>311</w:t>
      </w:r>
      <w:r w:rsidRPr="005C0B55">
        <w:rPr>
          <w:i/>
          <w:iCs/>
        </w:rPr>
        <w:t xml:space="preserve"> = ¿</w:t>
      </w:r>
      <w:r w:rsidRPr="00D55E2D">
        <w:rPr>
          <w:i/>
          <w:iCs/>
        </w:rPr>
        <w:t>Cómo</w:t>
      </w:r>
      <w:r w:rsidRPr="005C0B55">
        <w:rPr>
          <w:i/>
          <w:iCs/>
        </w:rPr>
        <w:t xml:space="preserve"> diseñar y construir </w:t>
      </w:r>
      <w:r>
        <w:rPr>
          <w:i/>
          <w:iCs/>
        </w:rPr>
        <w:t>un</w:t>
      </w:r>
      <w:r w:rsidRPr="005C0B55">
        <w:rPr>
          <w:i/>
          <w:iCs/>
        </w:rPr>
        <w:t xml:space="preserve"> envase</w:t>
      </w:r>
      <w:r>
        <w:rPr>
          <w:i/>
          <w:iCs/>
        </w:rPr>
        <w:t xml:space="preserve"> con forma de tetraedro </w:t>
      </w:r>
      <w:r w:rsidRPr="002F2296">
        <w:rPr>
          <w:i/>
          <w:iCs/>
        </w:rPr>
        <w:t>regular,</w:t>
      </w:r>
      <w:r>
        <w:rPr>
          <w:i/>
          <w:iCs/>
        </w:rPr>
        <w:t xml:space="preserve"> de manera que este tenga </w:t>
      </w:r>
      <w:r w:rsidRPr="005C0B55">
        <w:rPr>
          <w:i/>
          <w:iCs/>
        </w:rPr>
        <w:t>una capacidad de L ml o un volumen de V cm</w:t>
      </w:r>
      <w:r w:rsidRPr="005C0B55">
        <w:rPr>
          <w:i/>
          <w:iCs/>
          <w:vertAlign w:val="superscript"/>
        </w:rPr>
        <w:t>3</w:t>
      </w:r>
      <w:r w:rsidRPr="005C0B55">
        <w:rPr>
          <w:i/>
          <w:iCs/>
        </w:rPr>
        <w:t>?</w:t>
      </w:r>
    </w:p>
    <w:p w14:paraId="5DC5A1C8" w14:textId="48F030F6" w:rsidR="005B6E35" w:rsidRDefault="005B6E35" w:rsidP="00C1625F">
      <w:r w:rsidRPr="00794F04">
        <w:t>L</w:t>
      </w:r>
      <w:r w:rsidRPr="00F125BF">
        <w:t xml:space="preserve">a búsqueda de una respuesta a </w:t>
      </w:r>
      <w:r w:rsidRPr="00E4346D">
        <w:rPr>
          <w:b/>
          <w:bCs/>
          <w:i/>
          <w:iCs/>
        </w:rPr>
        <w:t>Q</w:t>
      </w:r>
      <w:r w:rsidRPr="00E4346D">
        <w:rPr>
          <w:vertAlign w:val="subscript"/>
        </w:rPr>
        <w:t>1</w:t>
      </w:r>
      <w:r w:rsidRPr="00F125BF">
        <w:t xml:space="preserve">, implica atender a </w:t>
      </w:r>
      <w:r w:rsidRPr="00E4346D">
        <w:rPr>
          <w:b/>
          <w:bCs/>
          <w:i/>
          <w:iCs/>
        </w:rPr>
        <w:t>Q</w:t>
      </w:r>
      <w:r w:rsidRPr="00E4346D">
        <w:rPr>
          <w:vertAlign w:val="subscript"/>
        </w:rPr>
        <w:t>11</w:t>
      </w:r>
      <w:r w:rsidRPr="00F125BF">
        <w:rPr>
          <w:i/>
          <w:iCs/>
        </w:rPr>
        <w:t xml:space="preserve"> </w:t>
      </w:r>
      <w:r w:rsidRPr="00F125BF">
        <w:t xml:space="preserve">y a </w:t>
      </w:r>
      <w:r w:rsidRPr="00E4346D">
        <w:rPr>
          <w:b/>
          <w:bCs/>
          <w:i/>
          <w:iCs/>
        </w:rPr>
        <w:t>Q</w:t>
      </w:r>
      <w:r w:rsidRPr="00E4346D">
        <w:rPr>
          <w:vertAlign w:val="subscript"/>
        </w:rPr>
        <w:t>12</w:t>
      </w:r>
      <w:r w:rsidRPr="00F125BF">
        <w:t>. Para ello, hemos de establecer: que</w:t>
      </w:r>
      <w:r w:rsidRPr="00794F04">
        <w:t xml:space="preserve"> un sólido, a diferencia de una figura plana, es un objeto tridimensional que tendrá siempre algún espesor y que ocupará cierto lugar en el espacio </w:t>
      </w:r>
      <w:r w:rsidRPr="00F125BF">
        <w:fldChar w:fldCharType="begin" w:fldLock="1"/>
      </w:r>
      <w:r w:rsidRPr="00F125BF">
        <w:instrText>ADDIN CSL_CITATION {"citationItems":[{"id":"ITEM-1","itemData":{"author":[{"dropping-particle":"","family":"Castelnuovo","given":"Emma","non-dropping-particle":"","parse-names":false,"suffix":""}],"id":"ITEM-1","issued":{"date-parts":[["1966"]]},"publisher":"Editorial Labor, S.A.","publisher-place":"Barcelona, España","title":"Geometría intuitiva","translator":[{"dropping-particle":"","family":"Romero","given":"Rafael","non-dropping-particle":"","parse-names":false,"suffix":""}],"type":"book"},"uris":["http://www.mendeley.com/documents/?uuid=3bf05d6e-8ad1-416d-855e-05fe58123b13"]}],"mendeley":{"formattedCitation":"(Castelnuovo, 1966)","plainTextFormattedCitation":"(Castelnuovo, 1966)","previouslyFormattedCitation":"(Castelnuovo, 1966)"},"properties":{"noteIndex":0},"schema":"https://github.com/citation-style-language/schema/raw/master/csl-citation.json"}</w:instrText>
      </w:r>
      <w:r w:rsidRPr="00F125BF">
        <w:fldChar w:fldCharType="separate"/>
      </w:r>
      <w:r w:rsidRPr="00F125BF">
        <w:rPr>
          <w:noProof/>
        </w:rPr>
        <w:t>(Castelnuovo, 1966)</w:t>
      </w:r>
      <w:r w:rsidRPr="00F125BF">
        <w:fldChar w:fldCharType="end"/>
      </w:r>
      <w:r w:rsidRPr="00794F04">
        <w:t>.</w:t>
      </w:r>
      <w:r w:rsidRPr="00F125BF">
        <w:t xml:space="preserve"> El tipo</w:t>
      </w:r>
      <w:r w:rsidRPr="00794F04">
        <w:t xml:space="preserve"> de fronteras que le delimitan –forma y características de su superficie– y la manera en que </w:t>
      </w:r>
      <w:r w:rsidRPr="00794F04">
        <w:lastRenderedPageBreak/>
        <w:t xml:space="preserve">inciden –convexidad y concavidad–, define la clase a la que dicho sólido pertenece </w:t>
      </w:r>
      <w:r w:rsidRPr="00F125BF">
        <w:fldChar w:fldCharType="begin" w:fldLock="1"/>
      </w:r>
      <w:r w:rsidRPr="00F125BF">
        <w:instrText>ADDIN CSL_CITATION {"citationItems":[{"id":"ITEM-1","itemData":{"ISBN":"84-7738-114-3","author":[{"dropping-particle":"","family":"Guillén","given":"Gregoria","non-dropping-particle":"","parse-names":false,"suffix":""}],"id":"ITEM-1","issued":{"date-parts":[["1991"]]},"number-of-pages":"230","publisher":"Editorial Sintesis, S.A.","publisher-place":"Madrid, España","title":"El mundo de los poliedros","type":"book"},"uris":["http://www.mendeley.com/documents/?uuid=89610fa5-7355-493d-8657-c288b9c46e36"]}],"mendeley":{"formattedCitation":"(Guillén, 1991)","plainTextFormattedCitation":"(Guillén, 1991)","previouslyFormattedCitation":"(Guillén, 1991)"},"properties":{"noteIndex":0},"schema":"https://github.com/citation-style-language/schema/raw/master/csl-citation.json"}</w:instrText>
      </w:r>
      <w:r w:rsidRPr="00F125BF">
        <w:fldChar w:fldCharType="separate"/>
      </w:r>
      <w:r w:rsidRPr="00F125BF">
        <w:rPr>
          <w:noProof/>
        </w:rPr>
        <w:t>(Guillén, 1991)</w:t>
      </w:r>
      <w:r w:rsidRPr="00F125BF">
        <w:fldChar w:fldCharType="end"/>
      </w:r>
      <w:r w:rsidRPr="00794F04">
        <w:t>.</w:t>
      </w:r>
      <w:r w:rsidRPr="00F125BF">
        <w:t xml:space="preserve"> En consecuencia, puede haber sólidos convexos o cóncavos con fronteras constituidas por superficies planas, planas y curvas, o únicamente curvas. Dada la enorme complejidad de sólidos posibles, por ahora, vamos a restringirnos a estudiar una clase más reducida de ellos.</w:t>
      </w:r>
    </w:p>
    <w:p w14:paraId="01DC7065" w14:textId="319904C8" w:rsidR="005B6E35" w:rsidRDefault="005B6E35" w:rsidP="005B6E35">
      <w:r>
        <w:t xml:space="preserve">Por tanto, una respuesta </w:t>
      </w:r>
      <w:r w:rsidRPr="00577657">
        <w:rPr>
          <w:b/>
          <w:bCs/>
          <w:i/>
          <w:iCs/>
        </w:rPr>
        <w:t>R</w:t>
      </w:r>
      <w:r w:rsidRPr="00577657">
        <w:rPr>
          <w:vertAlign w:val="subscript"/>
        </w:rPr>
        <w:t>11</w:t>
      </w:r>
      <w:r>
        <w:t xml:space="preserve">, a </w:t>
      </w:r>
      <w:r w:rsidRPr="00577657">
        <w:rPr>
          <w:b/>
          <w:bCs/>
          <w:i/>
          <w:iCs/>
        </w:rPr>
        <w:t>Q</w:t>
      </w:r>
      <w:r w:rsidRPr="00577657">
        <w:rPr>
          <w:vertAlign w:val="subscript"/>
        </w:rPr>
        <w:t>11</w:t>
      </w:r>
      <w:r>
        <w:t xml:space="preserve">, supone la realización de un tipo de tareas </w:t>
      </w:r>
      <w:r w:rsidRPr="00577657">
        <w:rPr>
          <w:b/>
          <w:bCs/>
          <w:i/>
          <w:iCs/>
        </w:rPr>
        <w:t>T</w:t>
      </w:r>
      <w:r w:rsidRPr="00577657">
        <w:rPr>
          <w:vertAlign w:val="subscript"/>
        </w:rPr>
        <w:t>11</w:t>
      </w:r>
      <w:r>
        <w:t>, que implica clasificar, de algún modo</w:t>
      </w:r>
      <w:r w:rsidRPr="00F125BF">
        <w:t xml:space="preserve">, </w:t>
      </w:r>
      <w:r w:rsidRPr="004D53B8">
        <w:t>algunos de</w:t>
      </w:r>
      <w:r>
        <w:t xml:space="preserve"> los sólidos geométricos. Esta </w:t>
      </w:r>
      <w:r w:rsidRPr="008755C5">
        <w:t>clasificación (</w:t>
      </w:r>
      <w:r w:rsidR="001058D6" w:rsidRPr="00BE39BD">
        <w:fldChar w:fldCharType="begin"/>
      </w:r>
      <w:r w:rsidR="001058D6" w:rsidRPr="00BE39BD">
        <w:instrText xml:space="preserve"> REF _Ref102815178 \h </w:instrText>
      </w:r>
      <w:r w:rsidR="00BE39BD" w:rsidRPr="00BE39BD">
        <w:instrText xml:space="preserve"> \* MERGEFORMAT </w:instrText>
      </w:r>
      <w:r w:rsidR="001058D6" w:rsidRPr="00BE39BD">
        <w:fldChar w:fldCharType="separate"/>
      </w:r>
      <w:r w:rsidR="001058D6" w:rsidRPr="00BE39BD">
        <w:t xml:space="preserve">Figura </w:t>
      </w:r>
      <w:r w:rsidR="001058D6" w:rsidRPr="00BE39BD">
        <w:rPr>
          <w:noProof/>
        </w:rPr>
        <w:t>2</w:t>
      </w:r>
      <w:r w:rsidR="001058D6" w:rsidRPr="00BE39BD">
        <w:fldChar w:fldCharType="end"/>
      </w:r>
      <w:r w:rsidRPr="008755C5">
        <w:t>),</w:t>
      </w:r>
      <w:r>
        <w:t xml:space="preserve"> que puede ser mejorada porque no discrimina los casos que pertenecen a más de una clase de sólidos como, por ejemplo, el del octaedro regular, que también es un </w:t>
      </w:r>
      <w:proofErr w:type="spellStart"/>
      <w:r>
        <w:t>antiprisma</w:t>
      </w:r>
      <w:proofErr w:type="spellEnd"/>
      <w:r>
        <w:t xml:space="preserve"> y un </w:t>
      </w:r>
      <w:proofErr w:type="spellStart"/>
      <w:r>
        <w:t>deltaedro</w:t>
      </w:r>
      <w:proofErr w:type="spellEnd"/>
      <w:r>
        <w:t xml:space="preserve">, o el caso del tetraedro regular que forma parte de la clase de las pirámides. </w:t>
      </w:r>
    </w:p>
    <w:p w14:paraId="29F9E6C5" w14:textId="02895587" w:rsidR="001058D6" w:rsidRPr="001058D6" w:rsidRDefault="001058D6" w:rsidP="001058D6">
      <w:pPr>
        <w:pStyle w:val="Legenda"/>
        <w:rPr>
          <w:b/>
          <w:bCs/>
        </w:rPr>
      </w:pPr>
      <w:bookmarkStart w:id="3" w:name="_Ref102815178"/>
      <w:r w:rsidRPr="001058D6">
        <w:rPr>
          <w:b/>
          <w:bCs/>
        </w:rPr>
        <w:t xml:space="preserve">Figura </w:t>
      </w:r>
      <w:r w:rsidRPr="001058D6">
        <w:rPr>
          <w:b/>
          <w:bCs/>
        </w:rPr>
        <w:fldChar w:fldCharType="begin"/>
      </w:r>
      <w:r w:rsidRPr="001058D6">
        <w:rPr>
          <w:b/>
          <w:bCs/>
        </w:rPr>
        <w:instrText xml:space="preserve"> SEQ Figura \* ARABIC </w:instrText>
      </w:r>
      <w:r w:rsidRPr="001058D6">
        <w:rPr>
          <w:b/>
          <w:bCs/>
        </w:rPr>
        <w:fldChar w:fldCharType="separate"/>
      </w:r>
      <w:r w:rsidR="001F1E38">
        <w:rPr>
          <w:b/>
          <w:bCs/>
          <w:noProof/>
        </w:rPr>
        <w:t>2</w:t>
      </w:r>
      <w:r w:rsidRPr="001058D6">
        <w:rPr>
          <w:b/>
          <w:bCs/>
        </w:rPr>
        <w:fldChar w:fldCharType="end"/>
      </w:r>
      <w:bookmarkEnd w:id="3"/>
      <w:r w:rsidRPr="001058D6">
        <w:rPr>
          <w:b/>
          <w:bCs/>
        </w:rPr>
        <w:t>.</w:t>
      </w:r>
    </w:p>
    <w:p w14:paraId="4E4FDF8A" w14:textId="2C6E9940" w:rsidR="001058D6" w:rsidRPr="001058D6" w:rsidRDefault="001058D6" w:rsidP="001058D6">
      <w:pPr>
        <w:pStyle w:val="Legenda"/>
        <w:rPr>
          <w:sz w:val="24"/>
          <w:szCs w:val="28"/>
        </w:rPr>
      </w:pPr>
      <w:r w:rsidRPr="001058D6">
        <w:rPr>
          <w:szCs w:val="22"/>
        </w:rPr>
        <w:t xml:space="preserve">Clasificación de los sólidos geométricos elaborada a partir de los planteamientos de </w:t>
      </w:r>
      <w:r w:rsidRPr="001058D6">
        <w:rPr>
          <w:szCs w:val="22"/>
        </w:rPr>
        <w:fldChar w:fldCharType="begin" w:fldLock="1"/>
      </w:r>
      <w:r w:rsidRPr="001058D6">
        <w:rPr>
          <w:szCs w:val="22"/>
        </w:rPr>
        <w:instrText>ADDIN CSL_CITATION {"citationItems":[{"id":"ITEM-1","itemData":{"ISBN":"84-7738-114-3","author":[{"dropping-particle":"","family":"Guillén","given":"Gregoria","non-dropping-particle":"","parse-names":false,"suffix":""}],"id":"ITEM-1","issued":{"date-parts":[["1991"]]},"number-of-pages":"230","publisher":"Editorial Sintesis, S.A.","publisher-place":"Madrid, España","title":"El mundo de los poliedros","type":"book"},"uris":["http://www.mendeley.com/documents/?uuid=89610fa5-7355-493d-8657-c288b9c46e36"]}],"mendeley":{"formattedCitation":"(Guillén, 1991)","manualFormatting":"Guillén (1991)","plainTextFormattedCitation":"(Guillén, 1991)","previouslyFormattedCitation":"(Guillén, 1991)"},"properties":{"noteIndex":0},"schema":"https://github.com/citation-style-language/schema/raw/master/csl-citation.json"}</w:instrText>
      </w:r>
      <w:r w:rsidRPr="001058D6">
        <w:rPr>
          <w:szCs w:val="22"/>
        </w:rPr>
        <w:fldChar w:fldCharType="separate"/>
      </w:r>
      <w:r w:rsidRPr="001058D6">
        <w:rPr>
          <w:noProof/>
          <w:szCs w:val="22"/>
        </w:rPr>
        <w:t>Guillén (1991)</w:t>
      </w:r>
      <w:r w:rsidRPr="001058D6">
        <w:rPr>
          <w:szCs w:val="22"/>
        </w:rPr>
        <w:fldChar w:fldCharType="end"/>
      </w:r>
    </w:p>
    <w:p w14:paraId="00D08B0B" w14:textId="77777777" w:rsidR="005B6E35" w:rsidRPr="0093122B" w:rsidRDefault="005B6E35" w:rsidP="00106537">
      <w:pPr>
        <w:jc w:val="center"/>
      </w:pPr>
      <w:r>
        <w:rPr>
          <w:noProof/>
          <w:lang w:val="pt-BR" w:eastAsia="pt-BR" w:bidi="ar-SA"/>
        </w:rPr>
        <w:drawing>
          <wp:inline distT="0" distB="0" distL="0" distR="0" wp14:anchorId="0DA4A602" wp14:editId="743E4B5F">
            <wp:extent cx="3835276" cy="2160000"/>
            <wp:effectExtent l="0" t="0" r="0" b="0"/>
            <wp:docPr id="3" name="Imagen 3" descr="Wor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Word&#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5276" cy="2160000"/>
                    </a:xfrm>
                    <a:prstGeom prst="rect">
                      <a:avLst/>
                    </a:prstGeom>
                    <a:noFill/>
                    <a:ln>
                      <a:noFill/>
                    </a:ln>
                  </pic:spPr>
                </pic:pic>
              </a:graphicData>
            </a:graphic>
          </wp:inline>
        </w:drawing>
      </w:r>
    </w:p>
    <w:p w14:paraId="5D919D86" w14:textId="2D8BF4E1" w:rsidR="005B6E35" w:rsidRDefault="005B6E35" w:rsidP="005B6E35">
      <w:r>
        <w:t xml:space="preserve">A partir de esta clasificación en la que se ha tenido en cuenta, fundamentalmente, la forma de las caras de las superficies de los sólidos, podemos comenzar a elaborar una respuesta </w:t>
      </w:r>
      <w:r w:rsidRPr="00577657">
        <w:rPr>
          <w:b/>
          <w:bCs/>
          <w:i/>
          <w:iCs/>
        </w:rPr>
        <w:t>R</w:t>
      </w:r>
      <w:r w:rsidRPr="00577657">
        <w:rPr>
          <w:vertAlign w:val="subscript"/>
        </w:rPr>
        <w:t>12</w:t>
      </w:r>
      <w:r w:rsidRPr="00577657">
        <w:t xml:space="preserve">, </w:t>
      </w:r>
      <w:r>
        <w:t xml:space="preserve">a </w:t>
      </w:r>
      <w:r w:rsidRPr="00577657">
        <w:rPr>
          <w:b/>
          <w:bCs/>
          <w:i/>
          <w:iCs/>
        </w:rPr>
        <w:t>Q</w:t>
      </w:r>
      <w:r w:rsidRPr="00577657">
        <w:rPr>
          <w:vertAlign w:val="subscript"/>
        </w:rPr>
        <w:t>12</w:t>
      </w:r>
      <w:r>
        <w:t xml:space="preserve">, ya que justamente la forma de las caras de los sólidos, y la manera en que estas inciden, son </w:t>
      </w:r>
      <w:r w:rsidR="009D41AE">
        <w:t xml:space="preserve">algunos </w:t>
      </w:r>
      <w:r>
        <w:t xml:space="preserve">de los elementos que nos </w:t>
      </w:r>
      <w:r w:rsidRPr="00EF787B">
        <w:t>permite</w:t>
      </w:r>
      <w:r>
        <w:t xml:space="preserve"> describir los sólidos geométricos. Otros elementos que aportan en la descripción de dichos sólidos podrían ser su número de vértices o de diagonales, aunque ello no los define a menos que se estableciera, por ejemplo, la posición relativa y la relación entre tales diagonales. </w:t>
      </w:r>
      <w:r w:rsidRPr="00F1209B">
        <w:t xml:space="preserve">También se podría describir un sólido a través de sus tipos de simetrías o, en el caso de los sólidos de revolución, de la manera en que ha </w:t>
      </w:r>
      <w:r w:rsidRPr="00F1209B">
        <w:lastRenderedPageBreak/>
        <w:t>sido generado a partir de la revolución de una figura plana en torno a un eje dado</w:t>
      </w:r>
      <w:r>
        <w:t>. Por ejemplo, en el caso de la forma de las caras, podríamos referirnos al tetraedro regular como el sólido delimitado por cuatro caras triangulares regulares.</w:t>
      </w:r>
    </w:p>
    <w:p w14:paraId="36550E73" w14:textId="31192F7A" w:rsidR="005B6E35" w:rsidRDefault="005B6E35" w:rsidP="005B6E35">
      <w:r w:rsidRPr="004D3E88">
        <w:t xml:space="preserve">Hasta este punto </w:t>
      </w:r>
      <w:r>
        <w:t>constatamos</w:t>
      </w:r>
      <w:r w:rsidRPr="004D3E88">
        <w:t xml:space="preserve"> que existe una enorme cantidad de sólidos geométricos ya que, si solo tuviésemos en cuenta las formas posibles de las superficies que los delimitan, estaría claro que tanto la cantidad </w:t>
      </w:r>
      <w:r w:rsidR="009D41AE">
        <w:t xml:space="preserve">de </w:t>
      </w:r>
      <w:r w:rsidRPr="004D3E88">
        <w:t xml:space="preserve">dichas formas como la variedad de maneras en que inciden entre sí pueden ser abrumadoras. </w:t>
      </w:r>
      <w:r>
        <w:t xml:space="preserve">Por tanto, y con el objeto de elaborar una posible respuesta </w:t>
      </w:r>
      <w:r w:rsidRPr="00812CD3">
        <w:rPr>
          <w:b/>
          <w:bCs/>
          <w:i/>
          <w:iCs/>
        </w:rPr>
        <w:t>R</w:t>
      </w:r>
      <w:r w:rsidRPr="00812CD3">
        <w:rPr>
          <w:vertAlign w:val="subscript"/>
        </w:rPr>
        <w:t>13</w:t>
      </w:r>
      <w:r>
        <w:t xml:space="preserve">, a </w:t>
      </w:r>
      <w:r w:rsidRPr="00812CD3">
        <w:rPr>
          <w:b/>
          <w:bCs/>
          <w:i/>
          <w:iCs/>
        </w:rPr>
        <w:t>Q</w:t>
      </w:r>
      <w:r w:rsidRPr="00812CD3">
        <w:rPr>
          <w:vertAlign w:val="subscript"/>
        </w:rPr>
        <w:t>13</w:t>
      </w:r>
      <w:r>
        <w:t>, nos restringiremos a algunos de los sólidos que habitualmente se estudian en la ESO. Así, por ejemplo, en los manuales escolares de matemáticas de 3º de la ESO (Alcaide et al., 2016</w:t>
      </w:r>
      <w:r w:rsidR="004865E2">
        <w:t xml:space="preserve">; </w:t>
      </w:r>
      <w:r>
        <w:t xml:space="preserve">Latasa </w:t>
      </w:r>
      <w:r w:rsidR="00623782">
        <w:t>&amp;</w:t>
      </w:r>
      <w:r>
        <w:t xml:space="preserve"> Ramos, 2022), en el capítulo dedicado al estudio de los cuerpos geométricos, se propone el estudio de algunos poliedros como los poliedros regulares, los prismas, las pirámides y el tronco de pirámide; y de algunos cuerpos de revolución como el cilindro, el cono, el tronco de cono y la esfera. Luego se aborda el cálculo de áreas y de volúmenes de dichos sólidos, así como de algunos que se pueden formar a partir de estos.</w:t>
      </w:r>
    </w:p>
    <w:p w14:paraId="78181369" w14:textId="3FBCEB92" w:rsidR="005B6E35" w:rsidRDefault="005B6E35" w:rsidP="005B6E35">
      <w:r>
        <w:t xml:space="preserve">Por su parte, en la unidad 3 del libro de texto de Bosch et al. </w:t>
      </w:r>
      <w:r w:rsidR="00DD6176">
        <w:t>(</w:t>
      </w:r>
      <w:r>
        <w:t>1996), orientada al estudio de los poliedros se propone el estudio; primero, de los poliedros regulares; segundo, el paso del cubo a los paralelepípedos y a los prismas; tercero, el paso del tetraedro regular a las pirámides; y, por último, de los poliedros regulares a los poliedros duales.</w:t>
      </w:r>
    </w:p>
    <w:p w14:paraId="4EADA7D8" w14:textId="36322D0B" w:rsidR="005B6E35" w:rsidRPr="00006E84" w:rsidRDefault="005B6E35" w:rsidP="005B6E35">
      <w:r>
        <w:t xml:space="preserve">Nosotros, guiados por la propuesta de </w:t>
      </w:r>
      <w:r w:rsidRPr="004D3E88">
        <w:t>Bosch et al</w:t>
      </w:r>
      <w:r w:rsidR="005E2D1C">
        <w:t>.</w:t>
      </w:r>
      <w:r w:rsidRPr="004D3E88">
        <w:t xml:space="preserve"> </w:t>
      </w:r>
      <w:r w:rsidR="005E2D1C">
        <w:t>(</w:t>
      </w:r>
      <w:r w:rsidRPr="004D3E88">
        <w:t>1996</w:t>
      </w:r>
      <w:r>
        <w:t xml:space="preserve">), consideramos coherente proponer el estudio de tres clases de sólidos, partiendo de tres poliedros regulares y teniendo en cuenta dos criterios: a) que el número de lados vaya creciendo indefinidamente en alguna o algunas de sus caras; y b) que la regularidad del sólido se vaya debilitando poco a poco. De este modo, cada clase parte de un poliedro regular, sigue con poliedros con menos </w:t>
      </w:r>
      <w:r w:rsidRPr="00006E84">
        <w:t>regularidad hasta llegar a un sólido redondo donde sus caras ya no son polígonos:</w:t>
      </w:r>
    </w:p>
    <w:p w14:paraId="37F03700" w14:textId="77777777" w:rsidR="00B26613" w:rsidRDefault="005B6E35" w:rsidP="00B26613">
      <w:pPr>
        <w:pStyle w:val="PargrafodaLista"/>
        <w:numPr>
          <w:ilvl w:val="0"/>
          <w:numId w:val="7"/>
        </w:numPr>
      </w:pPr>
      <w:r w:rsidRPr="00B26613">
        <w:rPr>
          <w:i/>
          <w:iCs/>
        </w:rPr>
        <w:t>Primera clase</w:t>
      </w:r>
      <w:r w:rsidRPr="00006E84">
        <w:t>: tetraedro regular – pirámides rectas de base cualquiera – conos.</w:t>
      </w:r>
    </w:p>
    <w:p w14:paraId="1577C6FB" w14:textId="77777777" w:rsidR="00B26613" w:rsidRDefault="005B6E35" w:rsidP="00B26613">
      <w:pPr>
        <w:pStyle w:val="PargrafodaLista"/>
        <w:numPr>
          <w:ilvl w:val="0"/>
          <w:numId w:val="7"/>
        </w:numPr>
      </w:pPr>
      <w:r w:rsidRPr="00B26613">
        <w:rPr>
          <w:i/>
          <w:iCs/>
        </w:rPr>
        <w:t>Segunda clase</w:t>
      </w:r>
      <w:r w:rsidRPr="00006E84">
        <w:t xml:space="preserve">: octaedro regular – bipirámides rectas de base regular – </w:t>
      </w:r>
      <w:proofErr w:type="spellStart"/>
      <w:r w:rsidRPr="00006E84">
        <w:t>biconos</w:t>
      </w:r>
      <w:proofErr w:type="spellEnd"/>
      <w:r w:rsidRPr="00006E84">
        <w:t>.</w:t>
      </w:r>
    </w:p>
    <w:p w14:paraId="09B32A8C" w14:textId="00534481" w:rsidR="005B6E35" w:rsidRPr="00006E84" w:rsidRDefault="005B6E35" w:rsidP="00B26613">
      <w:pPr>
        <w:pStyle w:val="PargrafodaLista"/>
        <w:numPr>
          <w:ilvl w:val="0"/>
          <w:numId w:val="7"/>
        </w:numPr>
      </w:pPr>
      <w:r w:rsidRPr="00B26613">
        <w:rPr>
          <w:i/>
          <w:iCs/>
        </w:rPr>
        <w:t>Tercera clase</w:t>
      </w:r>
      <w:r w:rsidRPr="00006E84">
        <w:t>: cubo – prismas rectos de base cualquiera – cilindros.</w:t>
      </w:r>
    </w:p>
    <w:p w14:paraId="39740371" w14:textId="77777777" w:rsidR="005B6E35" w:rsidRDefault="005B6E35" w:rsidP="004C48EE">
      <w:r>
        <w:lastRenderedPageBreak/>
        <w:t xml:space="preserve">También podemos considerar una </w:t>
      </w:r>
      <w:r w:rsidRPr="00AD3E8A">
        <w:rPr>
          <w:i/>
          <w:iCs/>
        </w:rPr>
        <w:t>cuarta clase</w:t>
      </w:r>
      <w:r>
        <w:t xml:space="preserve"> que parte de los poliedros regulares dodecaedro e icosaedro,</w:t>
      </w:r>
      <w:r w:rsidRPr="0083177D">
        <w:t xml:space="preserve"> </w:t>
      </w:r>
      <w:r>
        <w:t>duales entre sí, que pueden considerarse más esféricos porque su volumen es bastante cercano a su esfera circunscrita, y mediante el truncamiento de sus vértices pasaremos a los “balones de futbol”</w:t>
      </w:r>
      <w:r w:rsidRPr="00302893">
        <w:t xml:space="preserve"> (Carena, 2020) </w:t>
      </w:r>
      <w:r>
        <w:t>para terminar en la esfera.</w:t>
      </w:r>
    </w:p>
    <w:p w14:paraId="32B4E3F0" w14:textId="77777777" w:rsidR="005B6E35" w:rsidRPr="00006E84" w:rsidRDefault="005B6E35" w:rsidP="005B6E35">
      <w:r w:rsidRPr="00006E84">
        <w:t xml:space="preserve">Cabe anotar que con estas clases no pretendemos abordar, en absoluto, todo el universo posible de sólidos, pero sí, de manera razonada, la mayoría de los que se estudian en la ESO. Por tanto, a partir de estas clases de sólidos ya podríamos intentar elaborar una respuesta a </w:t>
      </w:r>
      <w:r w:rsidRPr="00006E84">
        <w:rPr>
          <w:b/>
          <w:bCs/>
          <w:i/>
          <w:iCs/>
        </w:rPr>
        <w:t>Q</w:t>
      </w:r>
      <w:r w:rsidRPr="00006E84">
        <w:rPr>
          <w:vertAlign w:val="subscript"/>
        </w:rPr>
        <w:t>2</w:t>
      </w:r>
      <w:r w:rsidRPr="00006E84">
        <w:t xml:space="preserve">, que trata sobre la determinación de un sólido (la forma y el tamaño). Para ello, consideramos necesario clarificar lo que significa determinar un sólido.  Ello implica cuestionarse, en primer lugar, acerca de cuándo dos sólidos tienen la misma forma y cuántos datos necesitamos comunicar para que una persona, que no ve el sólido, pueda construir otro que tenga la misma forma. Una vez determinada la forma de un sólido, para acabar de determinarlo, deberemos preguntarnos por la determinación del tamaño. Otra estrategia consiste en determinar conjuntamente la forma y el tamaño. </w:t>
      </w:r>
    </w:p>
    <w:p w14:paraId="60993884" w14:textId="77777777" w:rsidR="005B6E35" w:rsidRPr="008C3A85" w:rsidRDefault="005B6E35" w:rsidP="005B6E35">
      <w:pPr>
        <w:rPr>
          <w:rFonts w:cs="Times New Roman"/>
        </w:rPr>
      </w:pPr>
      <w:r w:rsidRPr="008C3A85">
        <w:t>D</w:t>
      </w:r>
      <w:r w:rsidRPr="008C3A85">
        <w:rPr>
          <w:rFonts w:cs="Times New Roman"/>
        </w:rPr>
        <w:t xml:space="preserve">iremos que dos sólidos tienen la misma forma si existe una semejanza que transforma el uno en el otro. Por tanto, si dos sólidos tienen la misma forma, sólo pueden diferir en el tamaño. Podemos preguntarnos cuántos datos se necesitan para determinar la forma de un sólido concreto. Si queremos determinar la forma dejando libre el tamaño, no utilizaremos como datos ni longitudes ni áreas ni volúmenes de ciertos elementos del sólido (porque estos determinan, en parte, el tamaño del sólido). Sí podemos utilizar, por ejemplo, relaciones entre diferentes medidas de magnitudes y, también, la medida de algunos ángulos del sólido. </w:t>
      </w:r>
    </w:p>
    <w:p w14:paraId="711A00FC" w14:textId="77777777" w:rsidR="005B6E35" w:rsidRDefault="005B6E35" w:rsidP="005B6E35">
      <w:pPr>
        <w:rPr>
          <w:rFonts w:cs="Times New Roman"/>
        </w:rPr>
      </w:pPr>
      <w:r w:rsidRPr="008C3A85">
        <w:rPr>
          <w:rFonts w:cs="Times New Roman"/>
        </w:rPr>
        <w:t>Por ejemplo, para determinar la forma de un cilindro recto, dejando libre su tamaño, basta con proporcionar un solo dato, la relación entre el diámetro de la base y la altura del cilindro. Si además proporcionamos el radio de la base, tenemos el cilindro completamente determinado y, por tanto, estaremos en condiciones de construirlo.</w:t>
      </w:r>
    </w:p>
    <w:p w14:paraId="1D50E3B8" w14:textId="77777777" w:rsidR="0052505D" w:rsidRPr="007D26D3" w:rsidRDefault="0052505D" w:rsidP="007D26D3">
      <w:pPr>
        <w:pStyle w:val="Ttulo2"/>
      </w:pPr>
      <w:r w:rsidRPr="007D26D3">
        <w:t xml:space="preserve">Determinación y construcción de polígonos </w:t>
      </w:r>
    </w:p>
    <w:p w14:paraId="049A16B7" w14:textId="1BE6B1B7" w:rsidR="00F93724" w:rsidRDefault="00F93724" w:rsidP="00F93724">
      <w:r w:rsidRPr="005B65B0">
        <w:t xml:space="preserve">Podemos encontrar un ejemplo análogo, pero dentro de la geometría bidimensional, en Gascón </w:t>
      </w:r>
      <w:r w:rsidRPr="005B65B0">
        <w:fldChar w:fldCharType="begin" w:fldLock="1"/>
      </w:r>
      <w:r w:rsidRPr="005B65B0">
        <w:instrText>ADDIN CSL_CITATION {"citationItems":[{"id":"ITEM-1","itemData":{"author":[{"dropping-particle":"","family":"Gascón","given":"Josep","non-dropping-particle":"","parse-names":false,"suffix":""}],"container-title":"SUMA","id":"ITEM-1","issued":{"date-parts":[["2004"]]},"note":"Referencia ok","page":"41-52","title":"Efectos del autismo temático sobre el estudio de la Geometría en Secundaria II. La clasificación de los cuadriláteros convexos","type":"article-magazine","volume":"45"},"uris":["http://www.mendeley.com/documents/?uuid=f76ac9f0-64a1-47d4-9c9d-59617d5eaecb"]}],"mendeley":{"formattedCitation":"(Gascón, 2004)","manualFormatting":"(2004)","plainTextFormattedCitation":"(Gascón, 2004)","previouslyFormattedCitation":"(Gascón, 2004)"},"properties":{"noteIndex":0},"schema":"https://github.com/citation-style-language/schema/raw/master/csl-citation.json"}</w:instrText>
      </w:r>
      <w:r w:rsidRPr="005B65B0">
        <w:fldChar w:fldCharType="separate"/>
      </w:r>
      <w:r w:rsidRPr="005B65B0">
        <w:rPr>
          <w:noProof/>
        </w:rPr>
        <w:t>(2004)</w:t>
      </w:r>
      <w:r w:rsidRPr="005B65B0">
        <w:fldChar w:fldCharType="end"/>
      </w:r>
      <w:r w:rsidRPr="005B65B0">
        <w:t xml:space="preserve">. Dentro de los rombos, considerados como un tipo de polígonos, para determinar la forma de un rombo concreto dejando libre su tamaño basta con dar un solo parámetro (por ejemplo, la relación entre las longitudes de ambas diagonales o bien la medida de uno cualquiera </w:t>
      </w:r>
      <w:r w:rsidRPr="005B65B0">
        <w:lastRenderedPageBreak/>
        <w:t xml:space="preserve">de sus ángulos). Así, todos los rombos en los que la razón entre sus diagonales sea, por ejemplo, de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5B65B0">
        <w:t>, tendrán la misma forma. Es decir, si</w:t>
      </w:r>
      <m:oMath>
        <m:sSub>
          <m:sSubPr>
            <m:ctrlPr>
              <w:rPr>
                <w:rFonts w:ascii="Cambria Math" w:hAnsi="Cambria Math"/>
                <w:i/>
              </w:rPr>
            </m:ctrlPr>
          </m:sSubPr>
          <m:e>
            <m:r>
              <w:rPr>
                <w:rFonts w:ascii="Cambria Math" w:hAnsi="Cambria Math"/>
              </w:rPr>
              <m:t xml:space="preserve">  </m:t>
            </m:r>
            <m:r>
              <m:rPr>
                <m:sty m:val="bi"/>
              </m:rP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m:rPr>
                <m:sty m:val="bi"/>
              </m:rPr>
              <w:rPr>
                <w:rFonts w:ascii="Cambria Math" w:hAnsi="Cambria Math"/>
              </w:rPr>
              <m:t>D</m:t>
            </m:r>
          </m:e>
          <m:sub>
            <m:r>
              <w:rPr>
                <w:rFonts w:ascii="Cambria Math" w:hAnsi="Cambria Math"/>
              </w:rPr>
              <m:t>1</m:t>
            </m:r>
          </m:sub>
        </m:sSub>
      </m:oMath>
      <w:r w:rsidRPr="005B65B0">
        <w:rPr>
          <w:rFonts w:eastAsiaTheme="minorEastAsia"/>
        </w:rPr>
        <w:t xml:space="preserve">, con </w:t>
      </w:r>
      <w:r w:rsidRPr="005B65B0">
        <w:rPr>
          <w:rFonts w:eastAsiaTheme="minorEastAsia"/>
          <w:b/>
          <w:bCs/>
          <w:i/>
          <w:iCs/>
        </w:rPr>
        <w:t>D</w:t>
      </w:r>
      <w:r w:rsidRPr="005B65B0">
        <w:rPr>
          <w:vertAlign w:val="subscript"/>
        </w:rPr>
        <w:t>1</w:t>
      </w:r>
      <w:r w:rsidRPr="005B65B0">
        <w:t xml:space="preserve"> y </w:t>
      </w:r>
      <w:r w:rsidRPr="005B65B0">
        <w:rPr>
          <w:b/>
          <w:bCs/>
          <w:i/>
          <w:iCs/>
        </w:rPr>
        <w:t>D</w:t>
      </w:r>
      <w:r w:rsidRPr="005B65B0">
        <w:rPr>
          <w:vertAlign w:val="subscript"/>
        </w:rPr>
        <w:t>2</w:t>
      </w:r>
      <w:r w:rsidRPr="005B65B0">
        <w:t xml:space="preserve"> diagonales del rombo, podemos observar en la </w:t>
      </w:r>
      <w:r w:rsidR="00AA4757">
        <w:t>figura 3</w:t>
      </w:r>
      <w:r w:rsidRPr="005B65B0">
        <w:t xml:space="preserve"> que ambos rombos tienen la misma forma independientemente de las longitudes </w:t>
      </w:r>
      <w:r w:rsidRPr="005B65B0">
        <w:rPr>
          <w:rFonts w:eastAsiaTheme="minorEastAsia"/>
          <w:b/>
          <w:bCs/>
          <w:i/>
          <w:iCs/>
        </w:rPr>
        <w:t>D</w:t>
      </w:r>
      <w:r w:rsidRPr="005B65B0">
        <w:rPr>
          <w:vertAlign w:val="subscript"/>
        </w:rPr>
        <w:t>1</w:t>
      </w:r>
      <w:r w:rsidRPr="005B65B0">
        <w:t xml:space="preserve"> y </w:t>
      </w:r>
      <w:r w:rsidRPr="005B65B0">
        <w:rPr>
          <w:b/>
          <w:bCs/>
          <w:i/>
          <w:iCs/>
        </w:rPr>
        <w:t>D</w:t>
      </w:r>
      <w:r w:rsidRPr="005B65B0">
        <w:rPr>
          <w:vertAlign w:val="subscript"/>
        </w:rPr>
        <w:t>2</w:t>
      </w:r>
      <w:r w:rsidRPr="005B65B0">
        <w:t xml:space="preserve">. Para poder determinar su tamaño necesitamos proporcionar además la medida de una </w:t>
      </w:r>
      <w:r w:rsidR="007E27D3" w:rsidRPr="005B65B0">
        <w:t>longitud (</w:t>
      </w:r>
      <w:proofErr w:type="spellStart"/>
      <w:r w:rsidR="007E27D3">
        <w:t>e.g</w:t>
      </w:r>
      <w:proofErr w:type="spellEnd"/>
      <w:r w:rsidR="007E27D3">
        <w:t>., l</w:t>
      </w:r>
      <w:r w:rsidRPr="005B65B0">
        <w:t>a longitud del lado, o la longitud de una de sus diagonales).</w:t>
      </w:r>
    </w:p>
    <w:p w14:paraId="2666138B" w14:textId="54BB30C6" w:rsidR="00F93724" w:rsidRPr="008D091C" w:rsidRDefault="0017380A" w:rsidP="0017380A">
      <w:pPr>
        <w:pStyle w:val="Legenda"/>
        <w:rPr>
          <w:b/>
          <w:bCs/>
        </w:rPr>
      </w:pPr>
      <w:bookmarkStart w:id="4" w:name="_Ref102816944"/>
      <w:r w:rsidRPr="008D091C">
        <w:rPr>
          <w:b/>
          <w:bCs/>
        </w:rPr>
        <w:t xml:space="preserve">Figura </w:t>
      </w:r>
      <w:r w:rsidRPr="008D091C">
        <w:rPr>
          <w:b/>
          <w:bCs/>
        </w:rPr>
        <w:fldChar w:fldCharType="begin"/>
      </w:r>
      <w:r w:rsidRPr="008D091C">
        <w:rPr>
          <w:b/>
          <w:bCs/>
        </w:rPr>
        <w:instrText xml:space="preserve"> SEQ Figura \* ARABIC </w:instrText>
      </w:r>
      <w:r w:rsidRPr="008D091C">
        <w:rPr>
          <w:b/>
          <w:bCs/>
        </w:rPr>
        <w:fldChar w:fldCharType="separate"/>
      </w:r>
      <w:r w:rsidR="001F1E38">
        <w:rPr>
          <w:b/>
          <w:bCs/>
          <w:noProof/>
        </w:rPr>
        <w:t>3</w:t>
      </w:r>
      <w:r w:rsidRPr="008D091C">
        <w:rPr>
          <w:b/>
          <w:bCs/>
        </w:rPr>
        <w:fldChar w:fldCharType="end"/>
      </w:r>
      <w:bookmarkEnd w:id="4"/>
      <w:r w:rsidR="003317D3" w:rsidRPr="008D091C">
        <w:rPr>
          <w:b/>
          <w:bCs/>
        </w:rPr>
        <w:t>.</w:t>
      </w:r>
    </w:p>
    <w:p w14:paraId="4FBA973A" w14:textId="4F3A4373" w:rsidR="0017380A" w:rsidRDefault="0017380A" w:rsidP="0017380A">
      <w:pPr>
        <w:pStyle w:val="Legenda"/>
      </w:pPr>
      <w:r>
        <w:t>Ejemplo de rombos con diagonales cuya razón es 2/3</w:t>
      </w:r>
    </w:p>
    <w:p w14:paraId="350883A7" w14:textId="39A280F7" w:rsidR="00F93724" w:rsidRDefault="003C6D89" w:rsidP="004960B2">
      <w:pPr>
        <w:pStyle w:val="Legenda"/>
        <w:spacing w:after="0"/>
        <w:ind w:firstLine="0"/>
        <w:jc w:val="center"/>
        <w:rPr>
          <w:b/>
          <w:bCs/>
          <w:i w:val="0"/>
          <w:iCs w:val="0"/>
          <w:sz w:val="20"/>
          <w:szCs w:val="20"/>
        </w:rPr>
      </w:pPr>
      <w:r>
        <w:rPr>
          <w:b/>
          <w:bCs/>
          <w:i w:val="0"/>
          <w:iCs w:val="0"/>
          <w:noProof/>
          <w:sz w:val="20"/>
          <w:szCs w:val="20"/>
          <w:lang w:val="pt-BR" w:eastAsia="pt-BR" w:bidi="ar-SA"/>
        </w:rPr>
        <w:drawing>
          <wp:inline distT="0" distB="0" distL="0" distR="0" wp14:anchorId="2A3A5B06" wp14:editId="3A4A0CB6">
            <wp:extent cx="3600000" cy="1638085"/>
            <wp:effectExtent l="0" t="0" r="0" b="0"/>
            <wp:docPr id="32" name="Imagen 3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Gráfico radial&#10;&#10;Descripción generada automáticamente"/>
                    <pic:cNvPicPr/>
                  </pic:nvPicPr>
                  <pic:blipFill rotWithShape="1">
                    <a:blip r:embed="rId10" cstate="print">
                      <a:extLst>
                        <a:ext uri="{28A0092B-C50C-407E-A947-70E740481C1C}">
                          <a14:useLocalDpi xmlns:a14="http://schemas.microsoft.com/office/drawing/2010/main" val="0"/>
                        </a:ext>
                      </a:extLst>
                    </a:blip>
                    <a:srcRect r="3346" b="21816"/>
                    <a:stretch/>
                  </pic:blipFill>
                  <pic:spPr bwMode="auto">
                    <a:xfrm>
                      <a:off x="0" y="0"/>
                      <a:ext cx="3600000" cy="1638085"/>
                    </a:xfrm>
                    <a:prstGeom prst="rect">
                      <a:avLst/>
                    </a:prstGeom>
                    <a:ln>
                      <a:noFill/>
                    </a:ln>
                    <a:extLst>
                      <a:ext uri="{53640926-AAD7-44D8-BBD7-CCE9431645EC}">
                        <a14:shadowObscured xmlns:a14="http://schemas.microsoft.com/office/drawing/2010/main"/>
                      </a:ext>
                    </a:extLst>
                  </pic:spPr>
                </pic:pic>
              </a:graphicData>
            </a:graphic>
          </wp:inline>
        </w:drawing>
      </w:r>
    </w:p>
    <w:p w14:paraId="4012AD33" w14:textId="77777777" w:rsidR="00F93724" w:rsidRDefault="00F93724" w:rsidP="00F93724">
      <w:pPr>
        <w:ind w:firstLine="708"/>
      </w:pPr>
      <w:bookmarkStart w:id="5" w:name="_Hlk102585477"/>
      <w:r>
        <w:t xml:space="preserve">Una cuestión más general que cabe plantearnos dentro de la geometría plana es: </w:t>
      </w:r>
      <w:r w:rsidRPr="00B15EDE">
        <w:rPr>
          <w:i/>
          <w:iCs/>
        </w:rPr>
        <w:t>¿Qué y cuántos datos se requieren para poder determinar y construir un polígono cualquiera?</w:t>
      </w:r>
    </w:p>
    <w:p w14:paraId="278B666E" w14:textId="77777777" w:rsidR="00F93724" w:rsidRPr="005B65B0" w:rsidRDefault="00F93724" w:rsidP="00F93724">
      <w:pPr>
        <w:ind w:firstLine="708"/>
      </w:pPr>
      <w:r w:rsidRPr="005B65B0">
        <w:t xml:space="preserve">Para un polígono cualquiera de </w:t>
      </w:r>
      <w:r w:rsidRPr="005B65B0">
        <w:rPr>
          <w:b/>
          <w:bCs/>
          <w:i/>
          <w:iCs/>
        </w:rPr>
        <w:t>n</w:t>
      </w:r>
      <w:r w:rsidRPr="005B65B0">
        <w:t xml:space="preserve"> lados, demostraremos que se necesitan 2</w:t>
      </w:r>
      <w:r w:rsidRPr="005B65B0">
        <w:rPr>
          <w:b/>
          <w:bCs/>
          <w:i/>
          <w:iCs/>
        </w:rPr>
        <w:t>n</w:t>
      </w:r>
      <w:r w:rsidRPr="005B65B0">
        <w:t xml:space="preserve"> – 3 datos para determinarlo y construirlo. Siguiendo a (Pólya, 1967) proponemos tres demostraciones de ese hecho, cada una de las cuales sugiere una estrategia para construir el polígono.   </w:t>
      </w:r>
    </w:p>
    <w:p w14:paraId="29E548D4" w14:textId="4E20D53C" w:rsidR="00F93724" w:rsidRDefault="00F93724" w:rsidP="00777C09">
      <w:pPr>
        <w:pStyle w:val="PargrafodaLista"/>
        <w:numPr>
          <w:ilvl w:val="0"/>
          <w:numId w:val="13"/>
        </w:numPr>
      </w:pPr>
      <w:r w:rsidRPr="005B65B0">
        <w:rPr>
          <w:i/>
          <w:iCs/>
        </w:rPr>
        <w:t>Primera demostración</w:t>
      </w:r>
      <w:r w:rsidRPr="005B65B0">
        <w:t xml:space="preserve">: necesitaremos los datos de </w:t>
      </w:r>
      <w:r w:rsidRPr="005B65B0">
        <w:rPr>
          <w:b/>
          <w:bCs/>
          <w:i/>
          <w:iCs/>
        </w:rPr>
        <w:t>n</w:t>
      </w:r>
      <w:r w:rsidRPr="005B65B0">
        <w:t xml:space="preserve"> – 1 segmentos que salen de un vértice donde el primero y el último son lados del polígono y el resto son las </w:t>
      </w:r>
      <w:r w:rsidRPr="005B65B0">
        <w:rPr>
          <w:b/>
          <w:bCs/>
          <w:i/>
          <w:iCs/>
        </w:rPr>
        <w:t>n</w:t>
      </w:r>
      <w:r w:rsidRPr="005B65B0">
        <w:t xml:space="preserve"> – 3 diagonales y luego </w:t>
      </w:r>
      <w:r w:rsidRPr="005B65B0">
        <w:rPr>
          <w:b/>
          <w:bCs/>
          <w:i/>
          <w:iCs/>
        </w:rPr>
        <w:t>n</w:t>
      </w:r>
      <w:r w:rsidRPr="005B65B0">
        <w:t xml:space="preserve"> – 2 ángulos que determinan cada pareja de los segmentos anteriores, de modo que el primer ángulo es el formado por el primer lado del polígono y la primera diagonal, el segundo ángulo es el formado por la primera diagonal y la segunda diagonal, y así hasta el ángulo formado por la última diagonal y el último lado. Por tanto, necesitaremos (</w:t>
      </w:r>
      <w:r w:rsidRPr="005B65B0">
        <w:rPr>
          <w:b/>
          <w:bCs/>
          <w:i/>
          <w:iCs/>
        </w:rPr>
        <w:t>n</w:t>
      </w:r>
      <w:r w:rsidRPr="005B65B0">
        <w:t xml:space="preserve"> – 1)+ (</w:t>
      </w:r>
      <w:r w:rsidRPr="005B65B0">
        <w:rPr>
          <w:b/>
          <w:bCs/>
          <w:i/>
          <w:iCs/>
        </w:rPr>
        <w:t>n</w:t>
      </w:r>
      <w:r w:rsidRPr="005B65B0">
        <w:t xml:space="preserve"> – 2) datos, es decir, 2</w:t>
      </w:r>
      <w:r w:rsidRPr="005B65B0">
        <w:rPr>
          <w:b/>
          <w:bCs/>
          <w:i/>
          <w:iCs/>
        </w:rPr>
        <w:t>n</w:t>
      </w:r>
      <w:r w:rsidRPr="005B65B0">
        <w:t xml:space="preserve"> – 3 datos. Como se puede observar dichos datos permiten construir el polígono</w:t>
      </w:r>
      <w:r w:rsidR="00B70912">
        <w:t xml:space="preserve"> (</w:t>
      </w:r>
      <w:r w:rsidR="00B70912" w:rsidRPr="00BE39BD">
        <w:fldChar w:fldCharType="begin"/>
      </w:r>
      <w:r w:rsidR="00B70912" w:rsidRPr="00BE39BD">
        <w:instrText xml:space="preserve"> REF _Ref102817190 \h </w:instrText>
      </w:r>
      <w:r w:rsidR="00BE39BD" w:rsidRPr="00BE39BD">
        <w:instrText xml:space="preserve"> \* MERGEFORMAT </w:instrText>
      </w:r>
      <w:r w:rsidR="00B70912" w:rsidRPr="00BE39BD">
        <w:fldChar w:fldCharType="separate"/>
      </w:r>
      <w:r w:rsidR="00B70912" w:rsidRPr="00BE39BD">
        <w:t xml:space="preserve">Figura </w:t>
      </w:r>
      <w:r w:rsidR="00B70912" w:rsidRPr="00BE39BD">
        <w:rPr>
          <w:noProof/>
        </w:rPr>
        <w:t>4</w:t>
      </w:r>
      <w:r w:rsidR="00B70912" w:rsidRPr="00BE39BD">
        <w:fldChar w:fldCharType="end"/>
      </w:r>
      <w:r w:rsidR="00B70912">
        <w:t>)</w:t>
      </w:r>
      <w:r>
        <w:t>.</w:t>
      </w:r>
    </w:p>
    <w:p w14:paraId="20541BFD" w14:textId="647B1B5A" w:rsidR="006E3897" w:rsidRPr="006E3897" w:rsidRDefault="006E3897" w:rsidP="006E3897">
      <w:pPr>
        <w:pStyle w:val="Legenda"/>
        <w:rPr>
          <w:b/>
          <w:bCs/>
        </w:rPr>
      </w:pPr>
      <w:bookmarkStart w:id="6" w:name="_Ref102817190"/>
      <w:r w:rsidRPr="006E3897">
        <w:rPr>
          <w:b/>
          <w:bCs/>
        </w:rPr>
        <w:lastRenderedPageBreak/>
        <w:t xml:space="preserve">Figura </w:t>
      </w:r>
      <w:r w:rsidRPr="006E3897">
        <w:rPr>
          <w:b/>
          <w:bCs/>
        </w:rPr>
        <w:fldChar w:fldCharType="begin"/>
      </w:r>
      <w:r w:rsidRPr="006E3897">
        <w:rPr>
          <w:b/>
          <w:bCs/>
        </w:rPr>
        <w:instrText xml:space="preserve"> SEQ Figura \* ARABIC </w:instrText>
      </w:r>
      <w:r w:rsidRPr="006E3897">
        <w:rPr>
          <w:b/>
          <w:bCs/>
        </w:rPr>
        <w:fldChar w:fldCharType="separate"/>
      </w:r>
      <w:r w:rsidR="001F1E38">
        <w:rPr>
          <w:b/>
          <w:bCs/>
          <w:noProof/>
        </w:rPr>
        <w:t>4</w:t>
      </w:r>
      <w:r w:rsidRPr="006E3897">
        <w:rPr>
          <w:b/>
          <w:bCs/>
        </w:rPr>
        <w:fldChar w:fldCharType="end"/>
      </w:r>
      <w:bookmarkEnd w:id="6"/>
      <w:r w:rsidRPr="006E3897">
        <w:rPr>
          <w:b/>
          <w:bCs/>
        </w:rPr>
        <w:t>.</w:t>
      </w:r>
    </w:p>
    <w:p w14:paraId="52C71D32" w14:textId="19BA6F7F" w:rsidR="006E3897" w:rsidRDefault="006E3897" w:rsidP="006E3897">
      <w:pPr>
        <w:pStyle w:val="Legenda"/>
      </w:pPr>
      <w:r>
        <w:t xml:space="preserve">Heptágono </w:t>
      </w:r>
      <w:r w:rsidRPr="00162CF3">
        <w:rPr>
          <w:b/>
          <w:bCs/>
        </w:rPr>
        <w:t>ABCDEF</w:t>
      </w:r>
      <w:r>
        <w:rPr>
          <w:b/>
          <w:bCs/>
          <w:i w:val="0"/>
          <w:iCs w:val="0"/>
        </w:rPr>
        <w:t>G</w:t>
      </w:r>
      <w:r>
        <w:t xml:space="preserve"> determinado por los segmentos </w:t>
      </w:r>
      <w:r w:rsidRPr="00162CF3">
        <w:rPr>
          <w:b/>
          <w:bCs/>
        </w:rPr>
        <w:t>AB</w:t>
      </w:r>
      <w:r>
        <w:t xml:space="preserve">, </w:t>
      </w:r>
      <w:r w:rsidRPr="00162CF3">
        <w:rPr>
          <w:b/>
          <w:bCs/>
        </w:rPr>
        <w:t>AC</w:t>
      </w:r>
      <w:r>
        <w:t xml:space="preserve">, </w:t>
      </w:r>
      <w:r w:rsidRPr="00162CF3">
        <w:rPr>
          <w:b/>
          <w:bCs/>
        </w:rPr>
        <w:t>AD</w:t>
      </w:r>
      <w:r>
        <w:t xml:space="preserve">, </w:t>
      </w:r>
      <w:r w:rsidRPr="00162CF3">
        <w:rPr>
          <w:b/>
          <w:bCs/>
        </w:rPr>
        <w:t>AE</w:t>
      </w:r>
      <w:r>
        <w:t xml:space="preserve">, </w:t>
      </w:r>
      <w:r w:rsidRPr="00162CF3">
        <w:rPr>
          <w:b/>
          <w:bCs/>
        </w:rPr>
        <w:t>AF</w:t>
      </w:r>
      <w:r>
        <w:t xml:space="preserve">, y </w:t>
      </w:r>
      <w:r w:rsidRPr="00162CF3">
        <w:rPr>
          <w:b/>
          <w:bCs/>
        </w:rPr>
        <w:t>AG</w:t>
      </w:r>
      <w:r>
        <w:t xml:space="preserve"> y por los ángulos entre dichos segmentos (i.e., </w:t>
      </w:r>
      <w:r w:rsidRPr="00162CF3">
        <w:rPr>
          <w:rFonts w:cs="Times New Roman"/>
          <w:b/>
          <w:bCs/>
        </w:rPr>
        <w:t>α</w:t>
      </w:r>
      <w:r>
        <w:t xml:space="preserve">, </w:t>
      </w:r>
      <w:r w:rsidRPr="00162CF3">
        <w:rPr>
          <w:rFonts w:cs="Times New Roman"/>
          <w:b/>
          <w:bCs/>
        </w:rPr>
        <w:t>β</w:t>
      </w:r>
      <w:r>
        <w:t xml:space="preserve">, </w:t>
      </w:r>
      <w:r w:rsidRPr="00162CF3">
        <w:rPr>
          <w:rFonts w:cs="Times New Roman"/>
          <w:b/>
          <w:bCs/>
        </w:rPr>
        <w:t>γ</w:t>
      </w:r>
      <w:r>
        <w:rPr>
          <w:rFonts w:cs="Times New Roman"/>
        </w:rPr>
        <w:t>,</w:t>
      </w:r>
      <w:r w:rsidRPr="00162CF3">
        <w:rPr>
          <w:rFonts w:cs="Times New Roman"/>
          <w:b/>
          <w:bCs/>
        </w:rPr>
        <w:t xml:space="preserve"> δ</w:t>
      </w:r>
      <w:r>
        <w:rPr>
          <w:rFonts w:cs="Times New Roman"/>
        </w:rPr>
        <w:t xml:space="preserve">, </w:t>
      </w:r>
      <w:r w:rsidRPr="00162CF3">
        <w:rPr>
          <w:rFonts w:cs="Times New Roman"/>
          <w:b/>
          <w:bCs/>
        </w:rPr>
        <w:t>ε</w:t>
      </w:r>
      <w:r>
        <w:rPr>
          <w:rFonts w:cs="Times New Roman"/>
        </w:rPr>
        <w:t>, respectivamente)</w:t>
      </w:r>
    </w:p>
    <w:p w14:paraId="5C27AFB3" w14:textId="77777777" w:rsidR="00F93724" w:rsidRDefault="00F93724" w:rsidP="00106537">
      <w:pPr>
        <w:pStyle w:val="PargrafodaLista"/>
        <w:jc w:val="center"/>
      </w:pPr>
      <w:r>
        <w:rPr>
          <w:noProof/>
          <w:lang w:val="pt-BR" w:eastAsia="pt-BR" w:bidi="ar-SA"/>
        </w:rPr>
        <w:drawing>
          <wp:inline distT="0" distB="0" distL="0" distR="0" wp14:anchorId="51E9F640" wp14:editId="728DBCD0">
            <wp:extent cx="2280498" cy="1800000"/>
            <wp:effectExtent l="0" t="0" r="0" b="0"/>
            <wp:docPr id="7" name="Imagen 7"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 Polígono&#10;&#10;Descripción generada automáticamente"/>
                    <pic:cNvPicPr/>
                  </pic:nvPicPr>
                  <pic:blipFill rotWithShape="1">
                    <a:blip r:embed="rId11"/>
                    <a:srcRect r="7640" b="3301"/>
                    <a:stretch/>
                  </pic:blipFill>
                  <pic:spPr bwMode="auto">
                    <a:xfrm>
                      <a:off x="0" y="0"/>
                      <a:ext cx="2280498" cy="1800000"/>
                    </a:xfrm>
                    <a:prstGeom prst="rect">
                      <a:avLst/>
                    </a:prstGeom>
                    <a:ln>
                      <a:noFill/>
                    </a:ln>
                    <a:extLst>
                      <a:ext uri="{53640926-AAD7-44D8-BBD7-CCE9431645EC}">
                        <a14:shadowObscured xmlns:a14="http://schemas.microsoft.com/office/drawing/2010/main"/>
                      </a:ext>
                    </a:extLst>
                  </pic:spPr>
                </pic:pic>
              </a:graphicData>
            </a:graphic>
          </wp:inline>
        </w:drawing>
      </w:r>
    </w:p>
    <w:p w14:paraId="18468D9C" w14:textId="77777777" w:rsidR="00F93724" w:rsidRDefault="00F93724" w:rsidP="00F93724">
      <w:pPr>
        <w:pStyle w:val="PargrafodaLista"/>
        <w:jc w:val="center"/>
      </w:pPr>
    </w:p>
    <w:p w14:paraId="65B36738" w14:textId="24992B73" w:rsidR="00F93724" w:rsidRDefault="00F93724" w:rsidP="000E0743">
      <w:pPr>
        <w:pStyle w:val="PargrafodaLista"/>
        <w:numPr>
          <w:ilvl w:val="0"/>
          <w:numId w:val="13"/>
        </w:numPr>
      </w:pPr>
      <w:r w:rsidRPr="000E0743">
        <w:rPr>
          <w:i/>
          <w:iCs/>
        </w:rPr>
        <w:t>Segunda demostración</w:t>
      </w:r>
      <w:r w:rsidRPr="00397C4F">
        <w:t xml:space="preserve">: necesitamos las </w:t>
      </w:r>
      <w:r w:rsidRPr="000E0743">
        <w:rPr>
          <w:b/>
          <w:bCs/>
          <w:i/>
          <w:iCs/>
        </w:rPr>
        <w:t>n</w:t>
      </w:r>
      <w:r w:rsidRPr="00397C4F">
        <w:t xml:space="preserve"> – 3 diagonales que salen de un vértice del polígono y luego los </w:t>
      </w:r>
      <w:r w:rsidRPr="000E0743">
        <w:rPr>
          <w:b/>
          <w:bCs/>
          <w:i/>
          <w:iCs/>
        </w:rPr>
        <w:t>n</w:t>
      </w:r>
      <w:r w:rsidRPr="00397C4F">
        <w:t xml:space="preserve"> lados del polígono que colocados de modo adecuado permiten construirlo. Por tanto, en este caso necesitaremos también (</w:t>
      </w:r>
      <w:r w:rsidRPr="000E0743">
        <w:rPr>
          <w:b/>
          <w:bCs/>
          <w:i/>
          <w:iCs/>
        </w:rPr>
        <w:t>n</w:t>
      </w:r>
      <w:r w:rsidRPr="00397C4F">
        <w:t xml:space="preserve"> – 3) + </w:t>
      </w:r>
      <w:r w:rsidRPr="000E0743">
        <w:rPr>
          <w:b/>
          <w:bCs/>
          <w:i/>
          <w:iCs/>
        </w:rPr>
        <w:t>n</w:t>
      </w:r>
      <w:r w:rsidRPr="00397C4F">
        <w:t> = 2</w:t>
      </w:r>
      <w:r w:rsidRPr="000E0743">
        <w:rPr>
          <w:b/>
          <w:bCs/>
          <w:i/>
          <w:iCs/>
        </w:rPr>
        <w:t>n</w:t>
      </w:r>
      <w:r w:rsidRPr="00397C4F">
        <w:t xml:space="preserve"> – 3 datos</w:t>
      </w:r>
      <w:r w:rsidR="0074067E">
        <w:t xml:space="preserve"> (</w:t>
      </w:r>
      <w:r w:rsidR="000F4091" w:rsidRPr="00111177">
        <w:fldChar w:fldCharType="begin"/>
      </w:r>
      <w:r w:rsidR="000F4091" w:rsidRPr="00111177">
        <w:instrText xml:space="preserve"> REF _Ref102817309 \h </w:instrText>
      </w:r>
      <w:r w:rsidR="00111177" w:rsidRPr="00111177">
        <w:instrText xml:space="preserve"> \* MERGEFORMAT </w:instrText>
      </w:r>
      <w:r w:rsidR="000F4091" w:rsidRPr="00111177">
        <w:fldChar w:fldCharType="separate"/>
      </w:r>
      <w:r w:rsidR="000F4091" w:rsidRPr="00111177">
        <w:t xml:space="preserve">Figura </w:t>
      </w:r>
      <w:r w:rsidR="000F4091" w:rsidRPr="00111177">
        <w:rPr>
          <w:noProof/>
        </w:rPr>
        <w:t>5</w:t>
      </w:r>
      <w:r w:rsidR="000F4091" w:rsidRPr="00111177">
        <w:fldChar w:fldCharType="end"/>
      </w:r>
      <w:r w:rsidR="0074067E">
        <w:t>)</w:t>
      </w:r>
      <w:r>
        <w:t>.</w:t>
      </w:r>
    </w:p>
    <w:p w14:paraId="60A89B7B" w14:textId="6F21729D" w:rsidR="00116F36" w:rsidRPr="00116F36" w:rsidRDefault="00116F36" w:rsidP="00116F36">
      <w:pPr>
        <w:pStyle w:val="Legenda"/>
        <w:rPr>
          <w:b/>
          <w:bCs/>
        </w:rPr>
      </w:pPr>
      <w:bookmarkStart w:id="7" w:name="_Ref102817309"/>
      <w:r w:rsidRPr="00116F36">
        <w:rPr>
          <w:b/>
          <w:bCs/>
        </w:rPr>
        <w:t xml:space="preserve">Figura </w:t>
      </w:r>
      <w:r w:rsidRPr="00116F36">
        <w:rPr>
          <w:b/>
          <w:bCs/>
        </w:rPr>
        <w:fldChar w:fldCharType="begin"/>
      </w:r>
      <w:r w:rsidRPr="00116F36">
        <w:rPr>
          <w:b/>
          <w:bCs/>
        </w:rPr>
        <w:instrText xml:space="preserve"> SEQ Figura \* ARABIC </w:instrText>
      </w:r>
      <w:r w:rsidRPr="00116F36">
        <w:rPr>
          <w:b/>
          <w:bCs/>
        </w:rPr>
        <w:fldChar w:fldCharType="separate"/>
      </w:r>
      <w:r w:rsidR="001F1E38">
        <w:rPr>
          <w:b/>
          <w:bCs/>
          <w:noProof/>
        </w:rPr>
        <w:t>5</w:t>
      </w:r>
      <w:r w:rsidRPr="00116F36">
        <w:rPr>
          <w:b/>
          <w:bCs/>
        </w:rPr>
        <w:fldChar w:fldCharType="end"/>
      </w:r>
      <w:bookmarkEnd w:id="7"/>
      <w:r w:rsidRPr="00116F36">
        <w:rPr>
          <w:b/>
          <w:bCs/>
        </w:rPr>
        <w:t>.</w:t>
      </w:r>
    </w:p>
    <w:p w14:paraId="7065DBCA" w14:textId="442BD574" w:rsidR="00116F36" w:rsidRPr="00BB1343" w:rsidRDefault="00116F36" w:rsidP="00116F36">
      <w:pPr>
        <w:pStyle w:val="Legenda"/>
      </w:pPr>
      <w:r w:rsidRPr="00BB1343">
        <w:rPr>
          <w:i w:val="0"/>
          <w:iCs w:val="0"/>
          <w:sz w:val="20"/>
          <w:szCs w:val="20"/>
        </w:rPr>
        <w:t xml:space="preserve">Hexágono </w:t>
      </w:r>
      <w:r w:rsidRPr="00162CF3">
        <w:rPr>
          <w:b/>
          <w:bCs/>
          <w:sz w:val="20"/>
          <w:szCs w:val="20"/>
        </w:rPr>
        <w:t>AEBCDF</w:t>
      </w:r>
      <w:r>
        <w:rPr>
          <w:i w:val="0"/>
          <w:iCs w:val="0"/>
          <w:sz w:val="20"/>
          <w:szCs w:val="20"/>
        </w:rPr>
        <w:t xml:space="preserve"> </w:t>
      </w:r>
      <w:r w:rsidRPr="00BB1343">
        <w:rPr>
          <w:i w:val="0"/>
          <w:iCs w:val="0"/>
          <w:sz w:val="20"/>
          <w:szCs w:val="20"/>
        </w:rPr>
        <w:t xml:space="preserve">determinado por las diagonales </w:t>
      </w:r>
      <w:r w:rsidRPr="00162CF3">
        <w:rPr>
          <w:b/>
          <w:bCs/>
          <w:sz w:val="20"/>
          <w:szCs w:val="20"/>
        </w:rPr>
        <w:t>AB</w:t>
      </w:r>
      <w:r w:rsidRPr="00BB1343">
        <w:rPr>
          <w:i w:val="0"/>
          <w:iCs w:val="0"/>
          <w:sz w:val="20"/>
          <w:szCs w:val="20"/>
        </w:rPr>
        <w:t xml:space="preserve">, </w:t>
      </w:r>
      <w:r w:rsidRPr="00162CF3">
        <w:rPr>
          <w:b/>
          <w:bCs/>
          <w:sz w:val="20"/>
          <w:szCs w:val="20"/>
        </w:rPr>
        <w:t>AC</w:t>
      </w:r>
      <w:r w:rsidRPr="00BB1343">
        <w:rPr>
          <w:i w:val="0"/>
          <w:iCs w:val="0"/>
          <w:sz w:val="20"/>
          <w:szCs w:val="20"/>
        </w:rPr>
        <w:t xml:space="preserve">, y </w:t>
      </w:r>
      <w:r w:rsidRPr="00162CF3">
        <w:rPr>
          <w:b/>
          <w:bCs/>
          <w:sz w:val="20"/>
          <w:szCs w:val="20"/>
        </w:rPr>
        <w:t>AD</w:t>
      </w:r>
      <w:r w:rsidRPr="00BB1343">
        <w:rPr>
          <w:i w:val="0"/>
          <w:iCs w:val="0"/>
          <w:sz w:val="20"/>
          <w:szCs w:val="20"/>
        </w:rPr>
        <w:t xml:space="preserve">, y por los lados </w:t>
      </w:r>
      <w:r w:rsidRPr="00162CF3">
        <w:rPr>
          <w:b/>
          <w:bCs/>
          <w:sz w:val="20"/>
          <w:szCs w:val="20"/>
        </w:rPr>
        <w:t>AE</w:t>
      </w:r>
      <w:r w:rsidRPr="00BB1343">
        <w:rPr>
          <w:i w:val="0"/>
          <w:iCs w:val="0"/>
          <w:sz w:val="20"/>
          <w:szCs w:val="20"/>
        </w:rPr>
        <w:t xml:space="preserve">, </w:t>
      </w:r>
      <w:r w:rsidRPr="00162CF3">
        <w:rPr>
          <w:b/>
          <w:bCs/>
          <w:sz w:val="20"/>
          <w:szCs w:val="20"/>
        </w:rPr>
        <w:t>EB</w:t>
      </w:r>
      <w:r w:rsidRPr="00BB1343">
        <w:rPr>
          <w:i w:val="0"/>
          <w:iCs w:val="0"/>
          <w:sz w:val="20"/>
          <w:szCs w:val="20"/>
        </w:rPr>
        <w:t>,</w:t>
      </w:r>
      <w:r w:rsidRPr="00162CF3">
        <w:rPr>
          <w:b/>
          <w:bCs/>
          <w:sz w:val="20"/>
          <w:szCs w:val="20"/>
        </w:rPr>
        <w:t xml:space="preserve"> BC</w:t>
      </w:r>
      <w:r w:rsidRPr="00BB1343">
        <w:rPr>
          <w:i w:val="0"/>
          <w:iCs w:val="0"/>
          <w:sz w:val="20"/>
          <w:szCs w:val="20"/>
        </w:rPr>
        <w:t xml:space="preserve">, </w:t>
      </w:r>
      <w:r w:rsidRPr="00162CF3">
        <w:rPr>
          <w:b/>
          <w:bCs/>
          <w:sz w:val="20"/>
          <w:szCs w:val="20"/>
        </w:rPr>
        <w:t>CD</w:t>
      </w:r>
      <w:r w:rsidRPr="00BB1343">
        <w:rPr>
          <w:i w:val="0"/>
          <w:iCs w:val="0"/>
          <w:sz w:val="20"/>
          <w:szCs w:val="20"/>
        </w:rPr>
        <w:t xml:space="preserve">, </w:t>
      </w:r>
      <w:r w:rsidRPr="00162CF3">
        <w:rPr>
          <w:b/>
          <w:bCs/>
          <w:sz w:val="20"/>
          <w:szCs w:val="20"/>
        </w:rPr>
        <w:t>DF</w:t>
      </w:r>
      <w:r w:rsidRPr="00BB1343">
        <w:rPr>
          <w:i w:val="0"/>
          <w:iCs w:val="0"/>
          <w:sz w:val="20"/>
          <w:szCs w:val="20"/>
        </w:rPr>
        <w:t xml:space="preserve"> y </w:t>
      </w:r>
      <w:r w:rsidRPr="00162CF3">
        <w:rPr>
          <w:b/>
          <w:bCs/>
          <w:sz w:val="20"/>
          <w:szCs w:val="20"/>
        </w:rPr>
        <w:t>FA</w:t>
      </w:r>
    </w:p>
    <w:p w14:paraId="2E8BCF79" w14:textId="77777777" w:rsidR="00F93724" w:rsidRPr="00BB1343" w:rsidRDefault="00F93724" w:rsidP="00F93724">
      <w:pPr>
        <w:pStyle w:val="PargrafodaLista"/>
      </w:pPr>
    </w:p>
    <w:p w14:paraId="44A31FA9" w14:textId="77777777" w:rsidR="00F93724" w:rsidRDefault="00F93724" w:rsidP="00106537">
      <w:pPr>
        <w:jc w:val="center"/>
      </w:pPr>
      <w:r>
        <w:rPr>
          <w:noProof/>
          <w:lang w:val="pt-BR" w:eastAsia="pt-BR" w:bidi="ar-SA"/>
        </w:rPr>
        <w:drawing>
          <wp:inline distT="0" distB="0" distL="0" distR="0" wp14:anchorId="5FA050BF" wp14:editId="3CAD9359">
            <wp:extent cx="1885135" cy="1800000"/>
            <wp:effectExtent l="0" t="0" r="0" b="0"/>
            <wp:docPr id="8" name="Imagen 8"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 Polígono&#10;&#10;Descripción generada automáticamente"/>
                    <pic:cNvPicPr/>
                  </pic:nvPicPr>
                  <pic:blipFill>
                    <a:blip r:embed="rId12"/>
                    <a:stretch>
                      <a:fillRect/>
                    </a:stretch>
                  </pic:blipFill>
                  <pic:spPr>
                    <a:xfrm>
                      <a:off x="0" y="0"/>
                      <a:ext cx="1885135" cy="1800000"/>
                    </a:xfrm>
                    <a:prstGeom prst="rect">
                      <a:avLst/>
                    </a:prstGeom>
                  </pic:spPr>
                </pic:pic>
              </a:graphicData>
            </a:graphic>
          </wp:inline>
        </w:drawing>
      </w:r>
    </w:p>
    <w:p w14:paraId="16255922" w14:textId="77777777" w:rsidR="00F93724" w:rsidRDefault="00F93724" w:rsidP="00F93724">
      <w:pPr>
        <w:pStyle w:val="PargrafodaLista"/>
        <w:jc w:val="center"/>
      </w:pPr>
    </w:p>
    <w:p w14:paraId="31D93CA0" w14:textId="50994FD9" w:rsidR="00F93724" w:rsidRDefault="00F93724" w:rsidP="001F0083">
      <w:pPr>
        <w:pStyle w:val="PargrafodaLista"/>
        <w:numPr>
          <w:ilvl w:val="0"/>
          <w:numId w:val="13"/>
        </w:numPr>
      </w:pPr>
      <w:r w:rsidRPr="001F0083">
        <w:rPr>
          <w:i/>
          <w:iCs/>
        </w:rPr>
        <w:t xml:space="preserve">Tercera demostración: </w:t>
      </w:r>
      <w:r w:rsidRPr="00397C4F">
        <w:t xml:space="preserve">todo polígono de </w:t>
      </w:r>
      <w:r w:rsidRPr="001F0083">
        <w:rPr>
          <w:b/>
          <w:bCs/>
          <w:i/>
          <w:iCs/>
        </w:rPr>
        <w:t>n</w:t>
      </w:r>
      <w:r w:rsidRPr="00397C4F">
        <w:t xml:space="preserve"> lados puede descomponerse en </w:t>
      </w:r>
      <w:r w:rsidRPr="001F0083">
        <w:rPr>
          <w:b/>
          <w:bCs/>
          <w:i/>
          <w:iCs/>
        </w:rPr>
        <w:t>n</w:t>
      </w:r>
      <w:r w:rsidRPr="00397C4F">
        <w:t xml:space="preserve"> – 2 triángulos. Entonces, necesitamos 3 datos para construir el primer triángulo. Después para construir cada uno de los restantes </w:t>
      </w:r>
      <w:r w:rsidRPr="001F0083">
        <w:rPr>
          <w:b/>
          <w:bCs/>
          <w:i/>
          <w:iCs/>
        </w:rPr>
        <w:t>n</w:t>
      </w:r>
      <w:r w:rsidRPr="00397C4F">
        <w:t xml:space="preserve"> – 3 triángulos restantes necesitamos solo 2 datos ya que estos se construyen utilizando siempre un lado ya conocido para la construcción del triángulo anterior. Por tanto, necesitaremos 3 + 2 (</w:t>
      </w:r>
      <w:r w:rsidRPr="001F0083">
        <w:rPr>
          <w:b/>
          <w:bCs/>
          <w:i/>
          <w:iCs/>
        </w:rPr>
        <w:t>n</w:t>
      </w:r>
      <w:r w:rsidRPr="00397C4F">
        <w:t xml:space="preserve"> – 3) = 2</w:t>
      </w:r>
      <w:r w:rsidRPr="001F0083">
        <w:rPr>
          <w:b/>
          <w:bCs/>
          <w:i/>
          <w:iCs/>
        </w:rPr>
        <w:t>n</w:t>
      </w:r>
      <w:r w:rsidRPr="00397C4F">
        <w:t xml:space="preserve"> – 3 datos en total</w:t>
      </w:r>
      <w:r w:rsidR="00106537">
        <w:t xml:space="preserve"> (</w:t>
      </w:r>
      <w:r w:rsidR="001E1588" w:rsidRPr="00111177">
        <w:fldChar w:fldCharType="begin"/>
      </w:r>
      <w:r w:rsidR="001E1588" w:rsidRPr="00111177">
        <w:instrText xml:space="preserve"> REF _Ref102817407 \h </w:instrText>
      </w:r>
      <w:r w:rsidR="00111177" w:rsidRPr="00111177">
        <w:instrText xml:space="preserve"> \* MERGEFORMAT </w:instrText>
      </w:r>
      <w:r w:rsidR="001E1588" w:rsidRPr="00111177">
        <w:fldChar w:fldCharType="separate"/>
      </w:r>
      <w:r w:rsidR="001E1588" w:rsidRPr="00111177">
        <w:t xml:space="preserve">Figura </w:t>
      </w:r>
      <w:r w:rsidR="001E1588" w:rsidRPr="00111177">
        <w:rPr>
          <w:noProof/>
        </w:rPr>
        <w:t>6</w:t>
      </w:r>
      <w:r w:rsidR="001E1588" w:rsidRPr="00111177">
        <w:fldChar w:fldCharType="end"/>
      </w:r>
      <w:r w:rsidR="00106537">
        <w:t>)</w:t>
      </w:r>
      <w:r w:rsidRPr="00397C4F">
        <w:t>.</w:t>
      </w:r>
    </w:p>
    <w:p w14:paraId="076C75F9" w14:textId="5638B068" w:rsidR="00137617" w:rsidRPr="00BB4B92" w:rsidRDefault="00137617" w:rsidP="00137617">
      <w:pPr>
        <w:pStyle w:val="Legenda"/>
        <w:rPr>
          <w:b/>
          <w:bCs/>
        </w:rPr>
      </w:pPr>
      <w:bookmarkStart w:id="8" w:name="_Ref102817407"/>
      <w:r w:rsidRPr="00BB4B92">
        <w:rPr>
          <w:b/>
          <w:bCs/>
        </w:rPr>
        <w:t xml:space="preserve">Figura </w:t>
      </w:r>
      <w:r w:rsidRPr="00BB4B92">
        <w:rPr>
          <w:b/>
          <w:bCs/>
        </w:rPr>
        <w:fldChar w:fldCharType="begin"/>
      </w:r>
      <w:r w:rsidRPr="00BB4B92">
        <w:rPr>
          <w:b/>
          <w:bCs/>
        </w:rPr>
        <w:instrText xml:space="preserve"> SEQ Figura \* ARABIC </w:instrText>
      </w:r>
      <w:r w:rsidRPr="00BB4B92">
        <w:rPr>
          <w:b/>
          <w:bCs/>
        </w:rPr>
        <w:fldChar w:fldCharType="separate"/>
      </w:r>
      <w:r w:rsidR="001F1E38">
        <w:rPr>
          <w:b/>
          <w:bCs/>
          <w:noProof/>
        </w:rPr>
        <w:t>6</w:t>
      </w:r>
      <w:r w:rsidRPr="00BB4B92">
        <w:rPr>
          <w:b/>
          <w:bCs/>
        </w:rPr>
        <w:fldChar w:fldCharType="end"/>
      </w:r>
      <w:bookmarkEnd w:id="8"/>
      <w:r w:rsidRPr="00BB4B92">
        <w:rPr>
          <w:b/>
          <w:bCs/>
        </w:rPr>
        <w:t>.</w:t>
      </w:r>
    </w:p>
    <w:p w14:paraId="340E07AF" w14:textId="5EA552F5" w:rsidR="00137617" w:rsidRPr="00397C4F" w:rsidRDefault="00137617" w:rsidP="00137617">
      <w:pPr>
        <w:pStyle w:val="Legenda"/>
      </w:pPr>
      <w:r w:rsidRPr="00BB1343">
        <w:rPr>
          <w:sz w:val="20"/>
          <w:szCs w:val="20"/>
        </w:rPr>
        <w:t xml:space="preserve">Pentágono </w:t>
      </w:r>
      <w:r w:rsidRPr="00162CF3">
        <w:rPr>
          <w:b/>
          <w:bCs/>
          <w:sz w:val="20"/>
          <w:szCs w:val="20"/>
        </w:rPr>
        <w:t>ABCDE</w:t>
      </w:r>
      <w:r>
        <w:rPr>
          <w:sz w:val="20"/>
          <w:szCs w:val="20"/>
        </w:rPr>
        <w:t xml:space="preserve"> </w:t>
      </w:r>
      <w:r w:rsidRPr="00BB1343">
        <w:rPr>
          <w:sz w:val="20"/>
          <w:szCs w:val="20"/>
        </w:rPr>
        <w:t xml:space="preserve">determinado por el triángulo </w:t>
      </w:r>
      <w:r w:rsidRPr="00162CF3">
        <w:rPr>
          <w:b/>
          <w:bCs/>
          <w:sz w:val="20"/>
          <w:szCs w:val="20"/>
        </w:rPr>
        <w:t>ABC,</w:t>
      </w:r>
      <w:r w:rsidRPr="00BB1343">
        <w:rPr>
          <w:sz w:val="20"/>
          <w:szCs w:val="20"/>
        </w:rPr>
        <w:t xml:space="preserve"> que a su vez está determinado por los lados </w:t>
      </w:r>
      <w:r w:rsidRPr="00162CF3">
        <w:rPr>
          <w:b/>
          <w:bCs/>
          <w:sz w:val="20"/>
          <w:szCs w:val="20"/>
        </w:rPr>
        <w:t>AB</w:t>
      </w:r>
      <w:r w:rsidRPr="00BB1343">
        <w:rPr>
          <w:sz w:val="20"/>
          <w:szCs w:val="20"/>
        </w:rPr>
        <w:t xml:space="preserve">, </w:t>
      </w:r>
      <w:r w:rsidRPr="00162CF3">
        <w:rPr>
          <w:b/>
          <w:bCs/>
          <w:sz w:val="20"/>
          <w:szCs w:val="20"/>
        </w:rPr>
        <w:t>BC</w:t>
      </w:r>
      <w:r w:rsidRPr="00BB1343">
        <w:rPr>
          <w:sz w:val="20"/>
          <w:szCs w:val="20"/>
        </w:rPr>
        <w:t xml:space="preserve"> y </w:t>
      </w:r>
      <w:r w:rsidRPr="00162CF3">
        <w:rPr>
          <w:b/>
          <w:bCs/>
          <w:sz w:val="20"/>
          <w:szCs w:val="20"/>
        </w:rPr>
        <w:t>CA</w:t>
      </w:r>
      <w:r w:rsidRPr="00BB1343">
        <w:rPr>
          <w:sz w:val="20"/>
          <w:szCs w:val="20"/>
        </w:rPr>
        <w:t xml:space="preserve">; por el triángulo </w:t>
      </w:r>
      <w:r w:rsidRPr="00162CF3">
        <w:rPr>
          <w:b/>
          <w:bCs/>
          <w:sz w:val="20"/>
          <w:szCs w:val="20"/>
        </w:rPr>
        <w:t>CAD</w:t>
      </w:r>
      <w:r w:rsidRPr="00BB1343">
        <w:rPr>
          <w:sz w:val="20"/>
          <w:szCs w:val="20"/>
        </w:rPr>
        <w:t xml:space="preserve">, que está determinando por los lados </w:t>
      </w:r>
      <w:r w:rsidRPr="00162CF3">
        <w:rPr>
          <w:b/>
          <w:bCs/>
          <w:sz w:val="20"/>
          <w:szCs w:val="20"/>
        </w:rPr>
        <w:t>CA</w:t>
      </w:r>
      <w:r w:rsidRPr="00BB1343">
        <w:rPr>
          <w:sz w:val="20"/>
          <w:szCs w:val="20"/>
        </w:rPr>
        <w:t xml:space="preserve"> y </w:t>
      </w:r>
      <w:r w:rsidRPr="00162CF3">
        <w:rPr>
          <w:b/>
          <w:bCs/>
          <w:sz w:val="20"/>
          <w:szCs w:val="20"/>
        </w:rPr>
        <w:t>DA</w:t>
      </w:r>
      <w:r w:rsidRPr="00BB1343">
        <w:rPr>
          <w:sz w:val="20"/>
          <w:szCs w:val="20"/>
        </w:rPr>
        <w:t xml:space="preserve"> y por el ángulo entre estos </w:t>
      </w:r>
      <w:r w:rsidRPr="00162CF3">
        <w:rPr>
          <w:b/>
          <w:bCs/>
          <w:sz w:val="20"/>
          <w:szCs w:val="20"/>
        </w:rPr>
        <w:t>α</w:t>
      </w:r>
      <w:r w:rsidRPr="00BB1343">
        <w:rPr>
          <w:sz w:val="20"/>
          <w:szCs w:val="20"/>
        </w:rPr>
        <w:t xml:space="preserve">; y por el triángulo </w:t>
      </w:r>
      <w:r w:rsidRPr="00162CF3">
        <w:rPr>
          <w:b/>
          <w:bCs/>
          <w:sz w:val="20"/>
          <w:szCs w:val="20"/>
        </w:rPr>
        <w:t>DAE</w:t>
      </w:r>
      <w:r w:rsidRPr="00BB1343">
        <w:rPr>
          <w:sz w:val="20"/>
          <w:szCs w:val="20"/>
        </w:rPr>
        <w:t xml:space="preserve">, que está determinado por los lados </w:t>
      </w:r>
      <w:r w:rsidRPr="00162CF3">
        <w:rPr>
          <w:b/>
          <w:bCs/>
          <w:sz w:val="20"/>
          <w:szCs w:val="20"/>
        </w:rPr>
        <w:t>DA</w:t>
      </w:r>
      <w:r w:rsidRPr="00BB1343">
        <w:rPr>
          <w:sz w:val="20"/>
          <w:szCs w:val="20"/>
        </w:rPr>
        <w:t xml:space="preserve"> y </w:t>
      </w:r>
      <w:r w:rsidRPr="00162CF3">
        <w:rPr>
          <w:b/>
          <w:bCs/>
          <w:sz w:val="20"/>
          <w:szCs w:val="20"/>
        </w:rPr>
        <w:t>EA</w:t>
      </w:r>
      <w:r w:rsidRPr="00BB1343">
        <w:rPr>
          <w:sz w:val="20"/>
          <w:szCs w:val="20"/>
        </w:rPr>
        <w:t xml:space="preserve"> y por el ángulo entre estos </w:t>
      </w:r>
      <w:r w:rsidRPr="00162CF3">
        <w:rPr>
          <w:b/>
          <w:bCs/>
          <w:sz w:val="20"/>
          <w:szCs w:val="20"/>
        </w:rPr>
        <w:t>β</w:t>
      </w:r>
    </w:p>
    <w:p w14:paraId="75F7A6B4" w14:textId="77777777" w:rsidR="00F93724" w:rsidRDefault="00F93724" w:rsidP="00106537">
      <w:pPr>
        <w:jc w:val="center"/>
      </w:pPr>
      <w:r w:rsidRPr="00397C4F">
        <w:rPr>
          <w:noProof/>
          <w:lang w:val="pt-BR" w:eastAsia="pt-BR" w:bidi="ar-SA"/>
        </w:rPr>
        <w:drawing>
          <wp:inline distT="0" distB="0" distL="0" distR="0" wp14:anchorId="4224FB12" wp14:editId="6DFFB462">
            <wp:extent cx="2258980" cy="1800000"/>
            <wp:effectExtent l="0" t="0" r="0" b="0"/>
            <wp:docPr id="30" name="Imagen 30" descr="Imagen que contiene exterior, colgando, hombre,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colgando, hombre, luz&#10;&#10;Descripción generada automáticamente"/>
                    <pic:cNvPicPr/>
                  </pic:nvPicPr>
                  <pic:blipFill>
                    <a:blip r:embed="rId13"/>
                    <a:stretch>
                      <a:fillRect/>
                    </a:stretch>
                  </pic:blipFill>
                  <pic:spPr>
                    <a:xfrm>
                      <a:off x="0" y="0"/>
                      <a:ext cx="2258980" cy="1800000"/>
                    </a:xfrm>
                    <a:prstGeom prst="rect">
                      <a:avLst/>
                    </a:prstGeom>
                  </pic:spPr>
                </pic:pic>
              </a:graphicData>
            </a:graphic>
          </wp:inline>
        </w:drawing>
      </w:r>
    </w:p>
    <w:bookmarkEnd w:id="5"/>
    <w:p w14:paraId="3764BAF8" w14:textId="1709C6B2" w:rsidR="00F93724" w:rsidRPr="00AB3F1A" w:rsidRDefault="00F93724" w:rsidP="00F93724">
      <w:pPr>
        <w:rPr>
          <w:b/>
          <w:bCs/>
          <w:i/>
          <w:iCs/>
        </w:rPr>
      </w:pPr>
      <w:r w:rsidRPr="00AB3F1A">
        <w:t xml:space="preserve">Otra forma de demostrar ese mismo resultado, empezando por determinar la forma (dejando libre el tamaño) es la siguiente: para determinar la forma de un polígono de </w:t>
      </w:r>
      <w:r w:rsidRPr="00AB3F1A">
        <w:rPr>
          <w:b/>
          <w:bCs/>
          <w:i/>
          <w:iCs/>
        </w:rPr>
        <w:t>n</w:t>
      </w:r>
      <w:r w:rsidRPr="00AB3F1A">
        <w:t xml:space="preserve"> lados basta determinar la forma de cada uno de los </w:t>
      </w:r>
      <w:r w:rsidRPr="00AB3F1A">
        <w:rPr>
          <w:b/>
          <w:bCs/>
          <w:i/>
          <w:iCs/>
        </w:rPr>
        <w:t>n</w:t>
      </w:r>
      <w:r w:rsidRPr="00AB3F1A">
        <w:t xml:space="preserve"> – 2 triángulos en los que descompone. Dado que la forma de un triángulo queda determinada por 2 datos (por ejemplo, 2 ángulos), se necesitarán 2 (</w:t>
      </w:r>
      <w:r w:rsidRPr="00AB3F1A">
        <w:rPr>
          <w:b/>
          <w:bCs/>
          <w:i/>
          <w:iCs/>
        </w:rPr>
        <w:t>n</w:t>
      </w:r>
      <w:r w:rsidRPr="00AB3F1A">
        <w:t xml:space="preserve"> – 2) = 2</w:t>
      </w:r>
      <w:r w:rsidRPr="00AB3F1A">
        <w:rPr>
          <w:b/>
          <w:bCs/>
          <w:i/>
          <w:iCs/>
        </w:rPr>
        <w:t>n</w:t>
      </w:r>
      <w:r w:rsidRPr="00AB3F1A">
        <w:t xml:space="preserve"> – 4 datos para determinar la forma de un polígono de </w:t>
      </w:r>
      <w:r w:rsidRPr="00AB3F1A">
        <w:rPr>
          <w:b/>
          <w:bCs/>
          <w:i/>
          <w:iCs/>
        </w:rPr>
        <w:t>n</w:t>
      </w:r>
      <w:r w:rsidRPr="00AB3F1A">
        <w:t xml:space="preserve"> lados. Una vez determinada la forma, para determinar el tamaño bastará añadir un dato (</w:t>
      </w:r>
      <w:proofErr w:type="spellStart"/>
      <w:r w:rsidR="003B2092">
        <w:t>e.g</w:t>
      </w:r>
      <w:proofErr w:type="spellEnd"/>
      <w:r w:rsidR="003B2092">
        <w:t xml:space="preserve">., </w:t>
      </w:r>
      <w:r w:rsidRPr="00AB3F1A">
        <w:t>la longitud de un lado cualquiera del polígono). En total se necesitan 2</w:t>
      </w:r>
      <w:r w:rsidRPr="00AB3F1A">
        <w:rPr>
          <w:b/>
          <w:bCs/>
          <w:i/>
          <w:iCs/>
        </w:rPr>
        <w:t>n</w:t>
      </w:r>
      <w:r w:rsidRPr="00AB3F1A">
        <w:t xml:space="preserve"> – 4 + 1 = 2</w:t>
      </w:r>
      <w:r w:rsidRPr="00AB3F1A">
        <w:rPr>
          <w:b/>
          <w:bCs/>
          <w:i/>
          <w:iCs/>
        </w:rPr>
        <w:t>n</w:t>
      </w:r>
      <w:r w:rsidRPr="00AB3F1A">
        <w:t xml:space="preserve"> – 3.</w:t>
      </w:r>
    </w:p>
    <w:p w14:paraId="10C2D7B4" w14:textId="77777777" w:rsidR="00197449" w:rsidRPr="00D940DF" w:rsidRDefault="00197449" w:rsidP="00197449">
      <w:pPr>
        <w:pStyle w:val="Ttulo2"/>
      </w:pPr>
      <w:r w:rsidRPr="00D940DF">
        <w:lastRenderedPageBreak/>
        <w:t>Determinación y construcción de sólidos</w:t>
      </w:r>
    </w:p>
    <w:p w14:paraId="1DD9DCEC" w14:textId="70B36671" w:rsidR="00197449" w:rsidRPr="001359D8" w:rsidRDefault="00197449" w:rsidP="00F91DB6">
      <w:r w:rsidRPr="00AB3F1A">
        <w:t xml:space="preserve">Ahora, vamos a elaborar una posible respuesta </w:t>
      </w:r>
      <w:r w:rsidRPr="00AB3F1A">
        <w:rPr>
          <w:b/>
          <w:bCs/>
          <w:i/>
          <w:iCs/>
        </w:rPr>
        <w:t>R</w:t>
      </w:r>
      <w:r w:rsidRPr="00AB3F1A">
        <w:rPr>
          <w:vertAlign w:val="subscript"/>
        </w:rPr>
        <w:t>2</w:t>
      </w:r>
      <w:r w:rsidRPr="00AB3F1A">
        <w:t xml:space="preserve"> a </w:t>
      </w:r>
      <w:r w:rsidRPr="00AB3F1A">
        <w:rPr>
          <w:b/>
          <w:bCs/>
          <w:i/>
          <w:iCs/>
        </w:rPr>
        <w:t>Q</w:t>
      </w:r>
      <w:r w:rsidRPr="00AB3F1A">
        <w:rPr>
          <w:vertAlign w:val="subscript"/>
        </w:rPr>
        <w:t>2</w:t>
      </w:r>
      <w:r w:rsidRPr="00AB3F1A">
        <w:t xml:space="preserve">, tomando, por ejemplo, la primera clase de sólidos que hemos decidido considerar. Con lo cual, buscaremos posibles respuestas </w:t>
      </w:r>
      <w:r w:rsidRPr="00AB3F1A">
        <w:rPr>
          <w:b/>
          <w:bCs/>
          <w:i/>
          <w:iCs/>
        </w:rPr>
        <w:t>R</w:t>
      </w:r>
      <w:r w:rsidRPr="00AB3F1A">
        <w:rPr>
          <w:vertAlign w:val="subscript"/>
        </w:rPr>
        <w:t>21</w:t>
      </w:r>
      <w:r w:rsidRPr="00AB3F1A">
        <w:t xml:space="preserve"> a </w:t>
      </w:r>
      <w:r w:rsidRPr="00AB3F1A">
        <w:rPr>
          <w:b/>
          <w:bCs/>
          <w:i/>
          <w:iCs/>
        </w:rPr>
        <w:t>Q</w:t>
      </w:r>
      <w:r w:rsidRPr="00AB3F1A">
        <w:rPr>
          <w:vertAlign w:val="subscript"/>
        </w:rPr>
        <w:t>21</w:t>
      </w:r>
      <w:r w:rsidRPr="00AB3F1A">
        <w:t>. Por tanto, trataremos de establecer los datos que necesitamos para determinar la forma y el tamaño de dichos sólidos. Empezamos por seleccionar algunas de las clases de formas que aparecen en la</w:t>
      </w:r>
      <w:r w:rsidR="003A72F8">
        <w:t xml:space="preserve"> </w:t>
      </w:r>
      <w:r w:rsidR="003A72F8" w:rsidRPr="003A72F8">
        <w:fldChar w:fldCharType="begin"/>
      </w:r>
      <w:r w:rsidR="003A72F8" w:rsidRPr="003A72F8">
        <w:instrText xml:space="preserve"> REF _Ref102817739 \h </w:instrText>
      </w:r>
      <w:r w:rsidR="003A72F8">
        <w:instrText xml:space="preserve"> \* MERGEFORMAT </w:instrText>
      </w:r>
      <w:r w:rsidR="003A72F8" w:rsidRPr="003A72F8">
        <w:fldChar w:fldCharType="separate"/>
      </w:r>
      <w:r w:rsidR="003A72F8">
        <w:t>f</w:t>
      </w:r>
      <w:r w:rsidR="003A72F8" w:rsidRPr="003A72F8">
        <w:t>igura 7</w:t>
      </w:r>
      <w:r w:rsidR="003A72F8" w:rsidRPr="003A72F8">
        <w:fldChar w:fldCharType="end"/>
      </w:r>
      <w:r w:rsidRPr="00AB3F1A">
        <w:t>: el tetraedro regular, las pirámides rectas de base hexagonal regular y los conos rectos.</w:t>
      </w:r>
    </w:p>
    <w:p w14:paraId="1FCC886A" w14:textId="08D56EE7" w:rsidR="00F93724" w:rsidRPr="00585854" w:rsidRDefault="002F1729" w:rsidP="002F1729">
      <w:pPr>
        <w:pStyle w:val="Legenda"/>
        <w:rPr>
          <w:b/>
          <w:bCs/>
        </w:rPr>
      </w:pPr>
      <w:bookmarkStart w:id="9" w:name="_Ref102817739"/>
      <w:r w:rsidRPr="00585854">
        <w:rPr>
          <w:b/>
          <w:bCs/>
        </w:rPr>
        <w:t xml:space="preserve">Figura </w:t>
      </w:r>
      <w:r w:rsidRPr="00585854">
        <w:rPr>
          <w:b/>
          <w:bCs/>
        </w:rPr>
        <w:fldChar w:fldCharType="begin"/>
      </w:r>
      <w:r w:rsidRPr="00585854">
        <w:rPr>
          <w:b/>
          <w:bCs/>
        </w:rPr>
        <w:instrText xml:space="preserve"> SEQ Figura \* ARABIC </w:instrText>
      </w:r>
      <w:r w:rsidRPr="00585854">
        <w:rPr>
          <w:b/>
          <w:bCs/>
        </w:rPr>
        <w:fldChar w:fldCharType="separate"/>
      </w:r>
      <w:r w:rsidR="001F1E38">
        <w:rPr>
          <w:b/>
          <w:bCs/>
          <w:noProof/>
        </w:rPr>
        <w:t>7</w:t>
      </w:r>
      <w:r w:rsidRPr="00585854">
        <w:rPr>
          <w:b/>
          <w:bCs/>
        </w:rPr>
        <w:fldChar w:fldCharType="end"/>
      </w:r>
      <w:bookmarkEnd w:id="9"/>
      <w:r w:rsidRPr="00585854">
        <w:rPr>
          <w:b/>
          <w:bCs/>
        </w:rPr>
        <w:t>.</w:t>
      </w:r>
    </w:p>
    <w:p w14:paraId="7F6B49C2" w14:textId="384811D5" w:rsidR="002F1729" w:rsidRDefault="00585854" w:rsidP="002F1729">
      <w:pPr>
        <w:pStyle w:val="Legenda"/>
      </w:pPr>
      <w:r>
        <w:t>Algunas figuras</w:t>
      </w:r>
      <w:r w:rsidR="002F1729">
        <w:t xml:space="preserve"> de la primara clase. Del tetraedro regular al cono recto</w:t>
      </w:r>
    </w:p>
    <w:p w14:paraId="2B4CD060" w14:textId="3981DA40" w:rsidR="00232192" w:rsidRDefault="00164FF2" w:rsidP="00164FF2">
      <w:pPr>
        <w:jc w:val="center"/>
      </w:pPr>
      <w:r>
        <w:rPr>
          <w:noProof/>
          <w:lang w:val="pt-BR" w:eastAsia="pt-BR" w:bidi="ar-SA"/>
        </w:rPr>
        <w:drawing>
          <wp:inline distT="0" distB="0" distL="0" distR="0" wp14:anchorId="459E8C3C" wp14:editId="1FC18B8F">
            <wp:extent cx="4061132" cy="829870"/>
            <wp:effectExtent l="0" t="0" r="0" b="0"/>
            <wp:docPr id="33" name="Imagen 33"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bujo de una persona&#10;&#10;Descripción generada automáticamente con confianza baja"/>
                    <pic:cNvPicPr/>
                  </pic:nvPicPr>
                  <pic:blipFill rotWithShape="1">
                    <a:blip r:embed="rId14" cstate="print">
                      <a:extLst>
                        <a:ext uri="{28A0092B-C50C-407E-A947-70E740481C1C}">
                          <a14:useLocalDpi xmlns:a14="http://schemas.microsoft.com/office/drawing/2010/main" val="0"/>
                        </a:ext>
                      </a:extLst>
                    </a:blip>
                    <a:srcRect l="1918" r="5485" b="66363"/>
                    <a:stretch/>
                  </pic:blipFill>
                  <pic:spPr bwMode="auto">
                    <a:xfrm>
                      <a:off x="0" y="0"/>
                      <a:ext cx="4063000" cy="830252"/>
                    </a:xfrm>
                    <a:prstGeom prst="rect">
                      <a:avLst/>
                    </a:prstGeom>
                    <a:ln>
                      <a:noFill/>
                    </a:ln>
                    <a:extLst>
                      <a:ext uri="{53640926-AAD7-44D8-BBD7-CCE9431645EC}">
                        <a14:shadowObscured xmlns:a14="http://schemas.microsoft.com/office/drawing/2010/main"/>
                      </a:ext>
                    </a:extLst>
                  </pic:spPr>
                </pic:pic>
              </a:graphicData>
            </a:graphic>
          </wp:inline>
        </w:drawing>
      </w:r>
    </w:p>
    <w:p w14:paraId="5721F373" w14:textId="77777777" w:rsidR="003E6340" w:rsidRDefault="003E6340" w:rsidP="003E6340">
      <w:r>
        <w:t xml:space="preserve">Aquí, surgen tres nuevas cuestiones cuya respuesta ayudará en la elaboración de </w:t>
      </w:r>
      <w:r w:rsidRPr="004F0F5F">
        <w:rPr>
          <w:b/>
          <w:bCs/>
          <w:i/>
          <w:iCs/>
        </w:rPr>
        <w:t>R</w:t>
      </w:r>
      <w:r w:rsidRPr="004F0F5F">
        <w:rPr>
          <w:vertAlign w:val="subscript"/>
        </w:rPr>
        <w:t>21</w:t>
      </w:r>
      <w:r>
        <w:t>:</w:t>
      </w:r>
    </w:p>
    <w:p w14:paraId="4C8557F8" w14:textId="77777777" w:rsidR="003E6340" w:rsidRPr="007D4A25" w:rsidRDefault="003E6340" w:rsidP="003E6340">
      <w:pPr>
        <w:ind w:left="709" w:firstLine="0"/>
        <w:rPr>
          <w:i/>
          <w:iCs/>
        </w:rPr>
      </w:pPr>
      <w:r w:rsidRPr="003169E2">
        <w:rPr>
          <w:b/>
          <w:bCs/>
          <w:i/>
          <w:iCs/>
        </w:rPr>
        <w:t>Q</w:t>
      </w:r>
      <w:r w:rsidRPr="00826855">
        <w:rPr>
          <w:vertAlign w:val="subscript"/>
        </w:rPr>
        <w:t>211</w:t>
      </w:r>
      <w:r w:rsidRPr="007D4A25">
        <w:rPr>
          <w:i/>
          <w:iCs/>
        </w:rPr>
        <w:t xml:space="preserve"> = ¿Qué </w:t>
      </w:r>
      <w:r>
        <w:rPr>
          <w:i/>
          <w:iCs/>
        </w:rPr>
        <w:t>datos</w:t>
      </w:r>
      <w:r w:rsidRPr="007D4A25">
        <w:rPr>
          <w:i/>
          <w:iCs/>
        </w:rPr>
        <w:t xml:space="preserve"> necesitamos para determinar</w:t>
      </w:r>
      <w:r>
        <w:rPr>
          <w:i/>
          <w:iCs/>
        </w:rPr>
        <w:t xml:space="preserve"> y construir</w:t>
      </w:r>
      <w:r w:rsidRPr="007D4A25">
        <w:rPr>
          <w:i/>
          <w:iCs/>
        </w:rPr>
        <w:t xml:space="preserve"> </w:t>
      </w:r>
      <w:r>
        <w:rPr>
          <w:i/>
          <w:iCs/>
        </w:rPr>
        <w:t>el</w:t>
      </w:r>
      <w:r w:rsidRPr="007D4A25">
        <w:rPr>
          <w:i/>
          <w:iCs/>
        </w:rPr>
        <w:t xml:space="preserve"> tetraedro regular?</w:t>
      </w:r>
    </w:p>
    <w:p w14:paraId="328CB317" w14:textId="77777777" w:rsidR="003E6340" w:rsidRDefault="003E6340" w:rsidP="003E6340">
      <w:pPr>
        <w:ind w:left="709" w:firstLine="0"/>
        <w:rPr>
          <w:i/>
          <w:iCs/>
        </w:rPr>
      </w:pPr>
      <w:r w:rsidRPr="003169E2">
        <w:rPr>
          <w:b/>
          <w:bCs/>
          <w:i/>
          <w:iCs/>
        </w:rPr>
        <w:t>Q</w:t>
      </w:r>
      <w:r w:rsidRPr="00826855">
        <w:rPr>
          <w:vertAlign w:val="subscript"/>
        </w:rPr>
        <w:t>212</w:t>
      </w:r>
      <w:r w:rsidRPr="007D4A25">
        <w:rPr>
          <w:i/>
          <w:iCs/>
        </w:rPr>
        <w:t xml:space="preserve"> = </w:t>
      </w:r>
      <w:r w:rsidRPr="00826855">
        <w:rPr>
          <w:i/>
          <w:iCs/>
        </w:rPr>
        <w:t xml:space="preserve">¿Qué </w:t>
      </w:r>
      <w:r>
        <w:rPr>
          <w:i/>
          <w:iCs/>
        </w:rPr>
        <w:t>datos</w:t>
      </w:r>
      <w:r w:rsidRPr="00826855">
        <w:rPr>
          <w:i/>
          <w:iCs/>
        </w:rPr>
        <w:t xml:space="preserve"> necesitamos para determinar</w:t>
      </w:r>
      <w:r>
        <w:rPr>
          <w:i/>
          <w:iCs/>
        </w:rPr>
        <w:t xml:space="preserve"> y construir</w:t>
      </w:r>
      <w:r w:rsidRPr="00826855">
        <w:rPr>
          <w:i/>
          <w:iCs/>
        </w:rPr>
        <w:t xml:space="preserve"> una pirámide recta de base </w:t>
      </w:r>
      <w:r>
        <w:rPr>
          <w:i/>
          <w:iCs/>
        </w:rPr>
        <w:t>hexagonal regular</w:t>
      </w:r>
      <w:r w:rsidRPr="00826855">
        <w:rPr>
          <w:i/>
          <w:iCs/>
          <w:lang w:val="es-CL"/>
        </w:rPr>
        <w:t xml:space="preserve">? </w:t>
      </w:r>
    </w:p>
    <w:p w14:paraId="5ABF45B5" w14:textId="77777777" w:rsidR="003E6340" w:rsidRDefault="003E6340" w:rsidP="003E6340">
      <w:pPr>
        <w:ind w:left="709" w:firstLine="0"/>
        <w:rPr>
          <w:i/>
          <w:iCs/>
        </w:rPr>
      </w:pPr>
      <w:r w:rsidRPr="003169E2">
        <w:rPr>
          <w:b/>
          <w:bCs/>
          <w:i/>
          <w:iCs/>
        </w:rPr>
        <w:t>Q</w:t>
      </w:r>
      <w:r w:rsidRPr="00826855">
        <w:rPr>
          <w:vertAlign w:val="subscript"/>
        </w:rPr>
        <w:t>213</w:t>
      </w:r>
      <w:r w:rsidRPr="00826855">
        <w:t xml:space="preserve"> </w:t>
      </w:r>
      <w:r w:rsidRPr="005C0B55">
        <w:rPr>
          <w:i/>
          <w:iCs/>
        </w:rPr>
        <w:t xml:space="preserve">= ¿Qué </w:t>
      </w:r>
      <w:r>
        <w:rPr>
          <w:i/>
          <w:iCs/>
        </w:rPr>
        <w:t>datos</w:t>
      </w:r>
      <w:r w:rsidRPr="005C0B55">
        <w:rPr>
          <w:i/>
          <w:iCs/>
        </w:rPr>
        <w:t xml:space="preserve"> necesitamos para determinar </w:t>
      </w:r>
      <w:r>
        <w:rPr>
          <w:i/>
          <w:iCs/>
        </w:rPr>
        <w:t>y construir un cono recto</w:t>
      </w:r>
      <w:r w:rsidRPr="005C0B55">
        <w:rPr>
          <w:i/>
          <w:iCs/>
        </w:rPr>
        <w:t>?</w:t>
      </w:r>
    </w:p>
    <w:p w14:paraId="76E20E1D" w14:textId="24419FF9" w:rsidR="003E6340" w:rsidRDefault="003E6340" w:rsidP="003E6340">
      <w:r>
        <w:t xml:space="preserve">La búsqueda de respuestas </w:t>
      </w:r>
      <w:r w:rsidRPr="003169E2">
        <w:rPr>
          <w:b/>
          <w:bCs/>
          <w:i/>
          <w:iCs/>
        </w:rPr>
        <w:t>R</w:t>
      </w:r>
      <w:r w:rsidRPr="00A95B5A">
        <w:rPr>
          <w:vertAlign w:val="subscript"/>
        </w:rPr>
        <w:t>211</w:t>
      </w:r>
      <w:r>
        <w:t xml:space="preserve">, </w:t>
      </w:r>
      <w:r w:rsidRPr="003169E2">
        <w:rPr>
          <w:b/>
          <w:bCs/>
          <w:i/>
          <w:iCs/>
        </w:rPr>
        <w:t>R</w:t>
      </w:r>
      <w:r w:rsidRPr="00A95B5A">
        <w:rPr>
          <w:vertAlign w:val="subscript"/>
        </w:rPr>
        <w:t>212</w:t>
      </w:r>
      <w:r w:rsidRPr="00A95B5A">
        <w:t xml:space="preserve"> </w:t>
      </w:r>
      <w:r>
        <w:t xml:space="preserve">y </w:t>
      </w:r>
      <w:r w:rsidRPr="003169E2">
        <w:rPr>
          <w:b/>
          <w:bCs/>
          <w:i/>
          <w:iCs/>
        </w:rPr>
        <w:t>R</w:t>
      </w:r>
      <w:r w:rsidRPr="00A95B5A">
        <w:rPr>
          <w:vertAlign w:val="subscript"/>
        </w:rPr>
        <w:t>212</w:t>
      </w:r>
      <w:r w:rsidRPr="0088785F">
        <w:t xml:space="preserve"> </w:t>
      </w:r>
      <w:r>
        <w:t xml:space="preserve">a las correspondientes cuestiones anteriores, nos lleva a resolver el tipo de tareas </w:t>
      </w:r>
      <w:bookmarkStart w:id="10" w:name="_Hlk101940265"/>
      <w:r w:rsidRPr="003169E2">
        <w:rPr>
          <w:b/>
          <w:bCs/>
          <w:i/>
          <w:iCs/>
        </w:rPr>
        <w:t>T</w:t>
      </w:r>
      <w:r w:rsidRPr="00A95B5A">
        <w:rPr>
          <w:vertAlign w:val="subscript"/>
        </w:rPr>
        <w:t>21</w:t>
      </w:r>
      <w:r>
        <w:t> = </w:t>
      </w:r>
      <w:r>
        <w:rPr>
          <w:i/>
          <w:iCs/>
        </w:rPr>
        <w:t>D</w:t>
      </w:r>
      <w:r w:rsidRPr="008252F4">
        <w:rPr>
          <w:i/>
          <w:iCs/>
        </w:rPr>
        <w:t xml:space="preserve">eterminar </w:t>
      </w:r>
      <w:r>
        <w:rPr>
          <w:i/>
          <w:iCs/>
        </w:rPr>
        <w:t xml:space="preserve">y construir cada uno de dichos sólidos </w:t>
      </w:r>
      <w:r w:rsidRPr="008252F4">
        <w:rPr>
          <w:i/>
          <w:iCs/>
        </w:rPr>
        <w:t xml:space="preserve">con </w:t>
      </w:r>
      <w:bookmarkEnd w:id="10"/>
      <w:r w:rsidRPr="008252F4">
        <w:rPr>
          <w:i/>
          <w:iCs/>
        </w:rPr>
        <w:t>las herramientas de GeoGebra</w:t>
      </w:r>
      <w:r>
        <w:rPr>
          <w:rStyle w:val="Refdenotaderodap"/>
        </w:rPr>
        <w:footnoteReference w:id="3"/>
      </w:r>
      <w:r>
        <w:t xml:space="preserve">. La resolución de </w:t>
      </w:r>
      <w:r w:rsidRPr="001E3C6B">
        <w:rPr>
          <w:b/>
          <w:bCs/>
          <w:i/>
          <w:iCs/>
        </w:rPr>
        <w:t>T</w:t>
      </w:r>
      <w:r w:rsidRPr="002E6441">
        <w:rPr>
          <w:vertAlign w:val="subscript"/>
        </w:rPr>
        <w:t>21</w:t>
      </w:r>
      <w:r w:rsidRPr="00D42935">
        <w:t xml:space="preserve"> va a depende</w:t>
      </w:r>
      <w:r>
        <w:t xml:space="preserve">r de las propiedades geométricas del sólido a determinar y construir y de las herramientas que ofrece GeoGebra, como, por </w:t>
      </w:r>
      <w:r>
        <w:lastRenderedPageBreak/>
        <w:t>ejemplo, el trazado de figuras en 2D y 3D y la vinculación de objetos dinámicos como los deslizadores (Dos Santos, 2012).</w:t>
      </w:r>
    </w:p>
    <w:p w14:paraId="14B93DCE" w14:textId="77777777" w:rsidR="0049335B" w:rsidRPr="00BB0505" w:rsidRDefault="0049335B" w:rsidP="0049335B">
      <w:pPr>
        <w:pStyle w:val="Ttulo2"/>
      </w:pPr>
      <w:r w:rsidRPr="00BB0505">
        <w:t>Determinación y construcción del tetraedro regular</w:t>
      </w:r>
    </w:p>
    <w:p w14:paraId="2184CA4D" w14:textId="77777777" w:rsidR="0049335B" w:rsidRDefault="0049335B" w:rsidP="0049335B">
      <w:r w:rsidRPr="009A6C98">
        <w:t xml:space="preserve">La tarea </w:t>
      </w:r>
      <w:r w:rsidRPr="009A6C98">
        <w:rPr>
          <w:b/>
          <w:bCs/>
          <w:i/>
          <w:iCs/>
        </w:rPr>
        <w:t>t</w:t>
      </w:r>
      <w:r w:rsidRPr="009A6C98">
        <w:rPr>
          <w:b/>
          <w:bCs/>
          <w:vertAlign w:val="subscript"/>
        </w:rPr>
        <w:t xml:space="preserve">211 </w:t>
      </w:r>
      <w:r w:rsidRPr="009A6C98">
        <w:t>resulta muy sencilla y bastante trivial, ya que para determinar un tetraedro regular sólo necesitamos un dato, el que determina su tamaño, pues todos los tetraedros regulares tienen la misma forma. Para construirlo con GeoGebra basta dar, por ejemplo, la longitud de una de sus aristas. GeoGebra lo construye a partir de esta información, y el tamaño de la arista se proporciona aportando el dato de sus puntos extremos.</w:t>
      </w:r>
    </w:p>
    <w:p w14:paraId="7E51A3DE" w14:textId="7197AC59" w:rsidR="0049335B" w:rsidRPr="00BB0505" w:rsidRDefault="0049335B" w:rsidP="0049335B">
      <w:pPr>
        <w:rPr>
          <w:b/>
          <w:bCs/>
          <w:sz w:val="20"/>
          <w:szCs w:val="20"/>
        </w:rPr>
      </w:pPr>
      <w:r>
        <w:t xml:space="preserve">Si añadimos un deslizador a nuestra construcción y lo vinculamos con la arista del tetraedro, al modificar sus valores, podemos obtener </w:t>
      </w:r>
      <w:r w:rsidRPr="0064047A">
        <w:t xml:space="preserve">los tetraedros regulares posibles que </w:t>
      </w:r>
      <w:r>
        <w:t xml:space="preserve">solo </w:t>
      </w:r>
      <w:r w:rsidRPr="0064047A">
        <w:t>difieren en el tamaño</w:t>
      </w:r>
      <w:r>
        <w:t xml:space="preserve"> </w:t>
      </w:r>
      <w:r w:rsidRPr="00AB2C2A">
        <w:t>(</w:t>
      </w:r>
      <w:r w:rsidR="00AB2C2A" w:rsidRPr="00AB2C2A">
        <w:fldChar w:fldCharType="begin"/>
      </w:r>
      <w:r w:rsidR="00AB2C2A" w:rsidRPr="00AB2C2A">
        <w:instrText xml:space="preserve"> REF _Ref102817878 \h  \* MERGEFORMAT </w:instrText>
      </w:r>
      <w:r w:rsidR="00AB2C2A" w:rsidRPr="00AB2C2A">
        <w:fldChar w:fldCharType="separate"/>
      </w:r>
      <w:r w:rsidR="00AB2C2A" w:rsidRPr="00AB2C2A">
        <w:t xml:space="preserve">Figura </w:t>
      </w:r>
      <w:r w:rsidR="00AB2C2A" w:rsidRPr="00AB2C2A">
        <w:rPr>
          <w:noProof/>
        </w:rPr>
        <w:t>8</w:t>
      </w:r>
      <w:r w:rsidR="00AB2C2A" w:rsidRPr="00AB2C2A">
        <w:fldChar w:fldCharType="end"/>
      </w:r>
      <w:r w:rsidRPr="0061684E">
        <w:t>)</w:t>
      </w:r>
      <w:r>
        <w:t>.</w:t>
      </w:r>
    </w:p>
    <w:p w14:paraId="192A7AD8" w14:textId="172CA792" w:rsidR="00CF1105" w:rsidRPr="00756020" w:rsidRDefault="00CF1105" w:rsidP="00CF1105">
      <w:pPr>
        <w:pStyle w:val="Legenda"/>
        <w:rPr>
          <w:b/>
          <w:bCs/>
        </w:rPr>
      </w:pPr>
      <w:bookmarkStart w:id="11" w:name="_Ref102817878"/>
      <w:r w:rsidRPr="00756020">
        <w:rPr>
          <w:b/>
          <w:bCs/>
        </w:rPr>
        <w:t xml:space="preserve">Figura </w:t>
      </w:r>
      <w:r w:rsidRPr="00756020">
        <w:rPr>
          <w:b/>
          <w:bCs/>
        </w:rPr>
        <w:fldChar w:fldCharType="begin"/>
      </w:r>
      <w:r w:rsidRPr="00756020">
        <w:rPr>
          <w:b/>
          <w:bCs/>
        </w:rPr>
        <w:instrText xml:space="preserve"> SEQ Figura \* ARABIC </w:instrText>
      </w:r>
      <w:r w:rsidRPr="00756020">
        <w:rPr>
          <w:b/>
          <w:bCs/>
        </w:rPr>
        <w:fldChar w:fldCharType="separate"/>
      </w:r>
      <w:r w:rsidR="001F1E38">
        <w:rPr>
          <w:b/>
          <w:bCs/>
          <w:noProof/>
        </w:rPr>
        <w:t>8</w:t>
      </w:r>
      <w:r w:rsidRPr="00756020">
        <w:rPr>
          <w:b/>
          <w:bCs/>
        </w:rPr>
        <w:fldChar w:fldCharType="end"/>
      </w:r>
      <w:bookmarkEnd w:id="11"/>
      <w:r w:rsidRPr="00756020">
        <w:rPr>
          <w:b/>
          <w:bCs/>
        </w:rPr>
        <w:t>.</w:t>
      </w:r>
    </w:p>
    <w:p w14:paraId="7C6D2427" w14:textId="72D2B9B0" w:rsidR="00CF1105" w:rsidRDefault="00CF1105" w:rsidP="00CF1105">
      <w:pPr>
        <w:pStyle w:val="Legenda"/>
      </w:pPr>
      <w:r w:rsidRPr="00C60056">
        <w:rPr>
          <w:i w:val="0"/>
          <w:iCs w:val="0"/>
          <w:sz w:val="20"/>
          <w:szCs w:val="20"/>
        </w:rPr>
        <w:t>Tetraedro regular construido en GeoGebra, a partir de los extremos de una arista, vinculado con un deslizador que permite variar la distancia entre dichos puntos</w:t>
      </w:r>
    </w:p>
    <w:p w14:paraId="10AD73E0" w14:textId="47D4C7C3" w:rsidR="00164FF2" w:rsidRDefault="00756020" w:rsidP="00756020">
      <w:pPr>
        <w:jc w:val="center"/>
      </w:pPr>
      <w:r>
        <w:rPr>
          <w:noProof/>
          <w:lang w:val="pt-BR" w:eastAsia="pt-BR" w:bidi="ar-SA"/>
        </w:rPr>
        <w:drawing>
          <wp:inline distT="0" distB="0" distL="0" distR="0" wp14:anchorId="490054D6" wp14:editId="4DDD3484">
            <wp:extent cx="3600000" cy="1573853"/>
            <wp:effectExtent l="0" t="0" r="0" b="0"/>
            <wp:docPr id="34" name="Imagen 34" descr="Paraguas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araguas de colores&#10;&#10;Descripción generada automáticamente con confianza baja"/>
                    <pic:cNvPicPr/>
                  </pic:nvPicPr>
                  <pic:blipFill>
                    <a:blip r:embed="rId15"/>
                    <a:stretch>
                      <a:fillRect/>
                    </a:stretch>
                  </pic:blipFill>
                  <pic:spPr>
                    <a:xfrm>
                      <a:off x="0" y="0"/>
                      <a:ext cx="3600000" cy="1573853"/>
                    </a:xfrm>
                    <a:prstGeom prst="rect">
                      <a:avLst/>
                    </a:prstGeom>
                  </pic:spPr>
                </pic:pic>
              </a:graphicData>
            </a:graphic>
          </wp:inline>
        </w:drawing>
      </w:r>
    </w:p>
    <w:p w14:paraId="0955C6F4" w14:textId="77777777" w:rsidR="00AB2C2A" w:rsidRPr="00F24FB6" w:rsidRDefault="00AB2C2A" w:rsidP="00AB2C2A">
      <w:pPr>
        <w:rPr>
          <w:rFonts w:eastAsiaTheme="minorEastAsia"/>
          <w:highlight w:val="cyan"/>
        </w:rPr>
      </w:pPr>
      <w:r w:rsidRPr="00162CF3">
        <w:t xml:space="preserve">Si consideramos el tetraedro regular dentro del conjunto de pirámides rectas de base triangular regular y llamamos </w:t>
      </w:r>
      <w:r w:rsidRPr="00162CF3">
        <w:rPr>
          <w:b/>
          <w:bCs/>
          <w:i/>
          <w:iCs/>
        </w:rPr>
        <w:t>l</w:t>
      </w:r>
      <w:r w:rsidRPr="00162CF3">
        <w:t xml:space="preserve"> a la arista de la base, </w:t>
      </w:r>
      <w:r w:rsidRPr="00162CF3">
        <w:rPr>
          <w:b/>
          <w:bCs/>
          <w:i/>
          <w:iCs/>
        </w:rPr>
        <w:t>L</w:t>
      </w:r>
      <w:r w:rsidRPr="00162CF3">
        <w:t xml:space="preserve"> a la arista lateral (lado que une el ápice con un vértice de la base), </w:t>
      </w:r>
      <w:r w:rsidRPr="00162CF3">
        <w:rPr>
          <w:b/>
          <w:bCs/>
          <w:i/>
          <w:iCs/>
        </w:rPr>
        <w:t>H</w:t>
      </w:r>
      <w:r w:rsidRPr="00162CF3">
        <w:t xml:space="preserve"> a la altura de la pirámide y </w:t>
      </w:r>
      <w:r w:rsidRPr="00162CF3">
        <w:rPr>
          <w:b/>
          <w:bCs/>
          <w:i/>
          <w:iCs/>
        </w:rPr>
        <w:t>a</w:t>
      </w:r>
      <w:r w:rsidRPr="00162CF3">
        <w:t xml:space="preserve"> </w:t>
      </w:r>
      <w:proofErr w:type="spellStart"/>
      <w:r w:rsidRPr="00162CF3">
        <w:t>a</w:t>
      </w:r>
      <w:proofErr w:type="spellEnd"/>
      <w:r w:rsidRPr="00162CF3">
        <w:t xml:space="preserve"> la apotema de la pirámide (la altura de las caras laterales), tenemos que para que una pirámide de este tipo tenga</w:t>
      </w:r>
      <w:r>
        <w:t xml:space="preserve"> forma de tetraedro regular se deben cumplir alguna de las relaciones posibles entre las medidas de </w:t>
      </w:r>
      <w:r w:rsidRPr="00D42FA4">
        <w:rPr>
          <w:b/>
          <w:bCs/>
          <w:i/>
          <w:iCs/>
        </w:rPr>
        <w:t>l</w:t>
      </w:r>
      <w:r>
        <w:t xml:space="preserve">, </w:t>
      </w:r>
      <w:r w:rsidRPr="00D42FA4">
        <w:rPr>
          <w:b/>
          <w:bCs/>
          <w:i/>
          <w:iCs/>
        </w:rPr>
        <w:t>L</w:t>
      </w:r>
      <w:r>
        <w:t xml:space="preserve">, </w:t>
      </w:r>
      <w:r w:rsidRPr="00D42FA4">
        <w:rPr>
          <w:b/>
          <w:bCs/>
          <w:i/>
          <w:iCs/>
        </w:rPr>
        <w:t>H</w:t>
      </w:r>
      <w:r>
        <w:t xml:space="preserve"> y </w:t>
      </w:r>
      <w:r w:rsidRPr="00D42FA4">
        <w:rPr>
          <w:b/>
          <w:bCs/>
          <w:i/>
          <w:iCs/>
        </w:rPr>
        <w:t>a</w:t>
      </w:r>
      <w:r>
        <w:t xml:space="preserve">. La primera relación que debe cumplirse es que </w:t>
      </w:r>
      <w:r w:rsidRPr="00D42FA4">
        <w:rPr>
          <w:b/>
          <w:bCs/>
          <w:i/>
          <w:iCs/>
        </w:rPr>
        <w:t>l</w:t>
      </w:r>
      <w:r w:rsidRPr="00F24FB6">
        <w:rPr>
          <w:i/>
          <w:iCs/>
        </w:rPr>
        <w:t xml:space="preserve"> </w:t>
      </w:r>
      <w:r w:rsidRPr="00956494">
        <w:t xml:space="preserve">= </w:t>
      </w:r>
      <w:r w:rsidRPr="00D42FA4">
        <w:rPr>
          <w:b/>
          <w:bCs/>
          <w:i/>
          <w:iCs/>
        </w:rPr>
        <w:t>L</w:t>
      </w:r>
      <w:r w:rsidRPr="004B2152">
        <w:rPr>
          <w:rFonts w:eastAsiaTheme="minorEastAsia"/>
          <w:sz w:val="28"/>
          <w:szCs w:val="28"/>
        </w:rPr>
        <w:t>.</w:t>
      </w:r>
      <w:r>
        <w:t xml:space="preserve"> Pero también en un tetraedro regular se debe cumplir que </w:t>
      </w:r>
      <m:oMath>
        <m:r>
          <m:rPr>
            <m:sty m:val="bi"/>
          </m:rPr>
          <w:rPr>
            <w:rFonts w:ascii="Cambria Math" w:hAnsi="Cambria Math"/>
          </w:rPr>
          <m:t>H</m:t>
        </m:r>
        <m:r>
          <w:rPr>
            <w:rFonts w:ascii="Cambria Math" w:hAnsi="Cambria Math"/>
          </w:rPr>
          <m:t>=</m:t>
        </m:r>
        <m:f>
          <m:fPr>
            <m:ctrlPr>
              <w:rPr>
                <w:rFonts w:ascii="Cambria Math" w:hAnsi="Cambria Math"/>
                <w:i/>
              </w:rPr>
            </m:ctrlPr>
          </m:fPr>
          <m:num>
            <m:r>
              <m:rPr>
                <m:sty m:val="bi"/>
              </m:rPr>
              <w:rPr>
                <w:rFonts w:ascii="Cambria Math" w:hAnsi="Cambria Math"/>
              </w:rPr>
              <m:t>l</m:t>
            </m:r>
            <m:rad>
              <m:radPr>
                <m:degHide m:val="1"/>
                <m:ctrlPr>
                  <w:rPr>
                    <w:rFonts w:ascii="Cambria Math" w:hAnsi="Cambria Math"/>
                    <w:i/>
                  </w:rPr>
                </m:ctrlPr>
              </m:radPr>
              <m:deg/>
              <m:e>
                <m:r>
                  <w:rPr>
                    <w:rFonts w:ascii="Cambria Math" w:hAnsi="Cambria Math"/>
                  </w:rPr>
                  <m:t>6</m:t>
                </m:r>
              </m:e>
            </m:rad>
          </m:num>
          <m:den>
            <m:r>
              <w:rPr>
                <w:rFonts w:ascii="Cambria Math" w:hAnsi="Cambria Math"/>
              </w:rPr>
              <m:t>3</m:t>
            </m:r>
          </m:den>
        </m:f>
      </m:oMath>
      <w:r w:rsidRPr="00F24FB6">
        <w:rPr>
          <w:rFonts w:eastAsiaTheme="minorEastAsia"/>
        </w:rPr>
        <w:t xml:space="preserve"> (para determinar esta relación hemos </w:t>
      </w:r>
      <w:r>
        <w:rPr>
          <w:rFonts w:eastAsiaTheme="minorEastAsia"/>
        </w:rPr>
        <w:t>aplicado</w:t>
      </w:r>
      <w:r w:rsidRPr="00F24FB6">
        <w:rPr>
          <w:rFonts w:eastAsiaTheme="minorEastAsia"/>
        </w:rPr>
        <w:t xml:space="preserve"> el teorema de Pitágoras a dos triángulos rectángulos).</w:t>
      </w:r>
    </w:p>
    <w:p w14:paraId="3ABE3DCE" w14:textId="47689728" w:rsidR="00AB2C2A" w:rsidRDefault="00AB2C2A" w:rsidP="00AB2C2A">
      <w:r>
        <w:lastRenderedPageBreak/>
        <w:t>Esto quiere decir que todas las pirámides rectas de base triangular regular cuya razón entre la altura y el lado de l</w:t>
      </w:r>
      <w:r w:rsidRPr="00162CF3">
        <w:t xml:space="preserve">a base sea de </w:t>
      </w:r>
      <m:oMath>
        <m:rad>
          <m:radPr>
            <m:degHide m:val="1"/>
            <m:ctrlPr>
              <w:rPr>
                <w:rFonts w:ascii="Cambria Math" w:hAnsi="Cambria Math"/>
                <w:i/>
              </w:rPr>
            </m:ctrlPr>
          </m:radPr>
          <m:deg/>
          <m:e>
            <m:r>
              <w:rPr>
                <w:rFonts w:ascii="Cambria Math" w:hAnsi="Cambria Math"/>
              </w:rPr>
              <m:t>6</m:t>
            </m:r>
          </m:e>
        </m:rad>
      </m:oMath>
      <w:r w:rsidRPr="00162CF3">
        <w:t>/3 </w:t>
      </w:r>
      <w:r w:rsidRPr="00162CF3">
        <w:rPr>
          <w:rFonts w:cs="Times New Roman"/>
        </w:rPr>
        <w:t>≈ </w:t>
      </w:r>
      <w:r w:rsidRPr="00162CF3">
        <w:t>0.816 serán tetraedros regulares (el recíproco también es cierto). Esto</w:t>
      </w:r>
      <w:r>
        <w:t xml:space="preserve"> podemos comprobarlo, utilizando GeoGebra. Construimos una pirámide recta de base un triángulo equilátero, cuyo lado </w:t>
      </w:r>
      <w:r w:rsidRPr="00D42FA4">
        <w:rPr>
          <w:b/>
          <w:bCs/>
          <w:i/>
          <w:iCs/>
        </w:rPr>
        <w:t>l</w:t>
      </w:r>
      <w:r>
        <w:rPr>
          <w:i/>
          <w:iCs/>
        </w:rPr>
        <w:t> =</w:t>
      </w:r>
      <w:r w:rsidRPr="003169E2">
        <w:t> 9</w:t>
      </w:r>
      <w:r>
        <w:t xml:space="preserve"> unidades y </w:t>
      </w:r>
      <w:r w:rsidRPr="00D42FA4">
        <w:rPr>
          <w:b/>
          <w:bCs/>
          <w:i/>
          <w:iCs/>
        </w:rPr>
        <w:t>H</w:t>
      </w:r>
      <w:r>
        <w:rPr>
          <w:i/>
          <w:iCs/>
        </w:rPr>
        <w:t> </w:t>
      </w:r>
      <w:r>
        <w:rPr>
          <w:rFonts w:cs="Times New Roman"/>
          <w:i/>
          <w:iCs/>
        </w:rPr>
        <w:t>≈ </w:t>
      </w:r>
      <w:r w:rsidRPr="003169E2">
        <w:t>7,4</w:t>
      </w:r>
      <w:r>
        <w:t xml:space="preserve"> unidades. Así, </w:t>
      </w:r>
      <w:bookmarkStart w:id="12" w:name="_Hlk101939941"/>
      <w:r>
        <w:t>tenemos la construcción, en GeoGebra, de una pirámide recta de base triangular regular anclada a dos deslizadores</w:t>
      </w:r>
      <w:bookmarkEnd w:id="12"/>
      <w:r>
        <w:t>: uno que permite modificar la medida del lado de la base y otro que permite modificar la altura de la pirámide (</w:t>
      </w:r>
      <w:r w:rsidR="00F37BB7" w:rsidRPr="00F37BB7">
        <w:fldChar w:fldCharType="begin"/>
      </w:r>
      <w:r w:rsidR="00F37BB7" w:rsidRPr="00F37BB7">
        <w:instrText xml:space="preserve"> REF _Ref102818117 \h  \* MERGEFORMAT </w:instrText>
      </w:r>
      <w:r w:rsidR="00F37BB7" w:rsidRPr="00F37BB7">
        <w:fldChar w:fldCharType="separate"/>
      </w:r>
      <w:r w:rsidR="00F37BB7" w:rsidRPr="00F37BB7">
        <w:t xml:space="preserve">Figura </w:t>
      </w:r>
      <w:r w:rsidR="00F37BB7" w:rsidRPr="00F37BB7">
        <w:rPr>
          <w:noProof/>
        </w:rPr>
        <w:t>9</w:t>
      </w:r>
      <w:r w:rsidR="00F37BB7" w:rsidRPr="00F37BB7">
        <w:fldChar w:fldCharType="end"/>
      </w:r>
      <w:r>
        <w:t xml:space="preserve">). Aquí se puede comprobar que todas las pirámides en las que al activar los deslizadores la relación entre la medida de </w:t>
      </w:r>
      <w:r w:rsidRPr="00D42FA4">
        <w:rPr>
          <w:b/>
          <w:bCs/>
          <w:i/>
          <w:iCs/>
        </w:rPr>
        <w:t>l</w:t>
      </w:r>
      <w:r>
        <w:t xml:space="preserve"> y </w:t>
      </w:r>
      <w:r w:rsidRPr="00D42FA4">
        <w:rPr>
          <w:b/>
          <w:bCs/>
          <w:i/>
          <w:iCs/>
        </w:rPr>
        <w:t>H</w:t>
      </w:r>
      <w:r>
        <w:t xml:space="preserve"> es </w:t>
      </w:r>
      <w:r w:rsidRPr="00F24FB6">
        <w:rPr>
          <w:sz w:val="28"/>
          <w:szCs w:val="28"/>
        </w:rPr>
        <w:t xml:space="preserve"> </w:t>
      </w:r>
      <m:oMath>
        <m:f>
          <m:fPr>
            <m:ctrlPr>
              <w:rPr>
                <w:rFonts w:ascii="Cambria Math" w:hAnsi="Cambria Math"/>
                <w:b/>
                <w:bCs/>
                <w:i/>
                <w:sz w:val="28"/>
                <w:szCs w:val="28"/>
              </w:rPr>
            </m:ctrlPr>
          </m:fPr>
          <m:num>
            <m:r>
              <m:rPr>
                <m:sty m:val="bi"/>
              </m:rPr>
              <w:rPr>
                <w:rFonts w:ascii="Cambria Math" w:hAnsi="Cambria Math"/>
                <w:sz w:val="28"/>
                <w:szCs w:val="28"/>
              </w:rPr>
              <m:t>H</m:t>
            </m:r>
          </m:num>
          <m:den>
            <m:r>
              <m:rPr>
                <m:sty m:val="bi"/>
              </m:rPr>
              <w:rPr>
                <w:rFonts w:ascii="Cambria Math" w:hAnsi="Cambria Math"/>
                <w:sz w:val="28"/>
                <w:szCs w:val="28"/>
              </w:rPr>
              <m:t>l</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6</m:t>
                </m:r>
              </m:e>
            </m:rad>
          </m:num>
          <m:den>
            <m:r>
              <w:rPr>
                <w:rFonts w:ascii="Cambria Math" w:hAnsi="Cambria Math"/>
                <w:sz w:val="28"/>
                <w:szCs w:val="28"/>
              </w:rPr>
              <m:t>3</m:t>
            </m:r>
          </m:den>
        </m:f>
      </m:oMath>
      <w:r w:rsidRPr="00F24FB6">
        <w:rPr>
          <w:sz w:val="28"/>
          <w:szCs w:val="28"/>
        </w:rPr>
        <w:t xml:space="preserve"> </w:t>
      </w:r>
      <w:r>
        <w:t>son tetraedros regulares.</w:t>
      </w:r>
    </w:p>
    <w:p w14:paraId="668C3971" w14:textId="41308A6D" w:rsidR="00C878A1" w:rsidRPr="00C878A1" w:rsidRDefault="00C878A1" w:rsidP="00C878A1">
      <w:pPr>
        <w:pStyle w:val="Legenda"/>
        <w:rPr>
          <w:b/>
          <w:bCs/>
        </w:rPr>
      </w:pPr>
      <w:bookmarkStart w:id="13" w:name="_Ref102818117"/>
      <w:r w:rsidRPr="00C878A1">
        <w:rPr>
          <w:b/>
          <w:bCs/>
        </w:rPr>
        <w:t xml:space="preserve">Figura </w:t>
      </w:r>
      <w:r w:rsidRPr="00C878A1">
        <w:rPr>
          <w:b/>
          <w:bCs/>
        </w:rPr>
        <w:fldChar w:fldCharType="begin"/>
      </w:r>
      <w:r w:rsidRPr="00C878A1">
        <w:rPr>
          <w:b/>
          <w:bCs/>
        </w:rPr>
        <w:instrText xml:space="preserve"> SEQ Figura \* ARABIC </w:instrText>
      </w:r>
      <w:r w:rsidRPr="00C878A1">
        <w:rPr>
          <w:b/>
          <w:bCs/>
        </w:rPr>
        <w:fldChar w:fldCharType="separate"/>
      </w:r>
      <w:r w:rsidR="001F1E38">
        <w:rPr>
          <w:b/>
          <w:bCs/>
          <w:noProof/>
        </w:rPr>
        <w:t>9</w:t>
      </w:r>
      <w:r w:rsidRPr="00C878A1">
        <w:rPr>
          <w:b/>
          <w:bCs/>
        </w:rPr>
        <w:fldChar w:fldCharType="end"/>
      </w:r>
      <w:bookmarkEnd w:id="13"/>
      <w:r w:rsidRPr="00C878A1">
        <w:rPr>
          <w:b/>
          <w:bCs/>
        </w:rPr>
        <w:t>.</w:t>
      </w:r>
    </w:p>
    <w:p w14:paraId="16D9DAD4" w14:textId="54B95F5C" w:rsidR="00C878A1" w:rsidRPr="00B24351" w:rsidRDefault="00C878A1" w:rsidP="00C878A1">
      <w:pPr>
        <w:pStyle w:val="Legenda"/>
      </w:pPr>
      <w:r w:rsidRPr="0081331B">
        <w:rPr>
          <w:sz w:val="20"/>
          <w:szCs w:val="20"/>
        </w:rPr>
        <w:t>Pirámide recta de base triangular regular, construida en GeoGebra, vinculada con dos deslizadores que permiten modificar su altura y su arista</w:t>
      </w:r>
    </w:p>
    <w:p w14:paraId="2F55E666" w14:textId="4F4651DF" w:rsidR="00AB2C2A" w:rsidRDefault="005C5FD9" w:rsidP="00AB2C2A">
      <w:pPr>
        <w:jc w:val="center"/>
      </w:pPr>
      <w:r>
        <w:rPr>
          <w:noProof/>
          <w:lang w:val="pt-BR" w:eastAsia="pt-BR" w:bidi="ar-SA"/>
        </w:rPr>
        <w:drawing>
          <wp:inline distT="0" distB="0" distL="0" distR="0" wp14:anchorId="57BFC435" wp14:editId="6ECE372F">
            <wp:extent cx="3199897" cy="1800000"/>
            <wp:effectExtent l="0" t="0" r="0" b="0"/>
            <wp:docPr id="1" name="Imagen 1" descr="Imagen que contiene paragu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ragua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9897" cy="1800000"/>
                    </a:xfrm>
                    <a:prstGeom prst="rect">
                      <a:avLst/>
                    </a:prstGeom>
                  </pic:spPr>
                </pic:pic>
              </a:graphicData>
            </a:graphic>
          </wp:inline>
        </w:drawing>
      </w:r>
    </w:p>
    <w:p w14:paraId="22E2F2C0" w14:textId="77777777" w:rsidR="00A52092" w:rsidRPr="007534AE" w:rsidRDefault="00A52092" w:rsidP="00A52092">
      <w:pPr>
        <w:pStyle w:val="Ttulo2"/>
      </w:pPr>
      <w:r w:rsidRPr="007534AE">
        <w:t>Determinación y construcción de una pirámide recta de base poligonal regular</w:t>
      </w:r>
    </w:p>
    <w:p w14:paraId="7787726F" w14:textId="77777777" w:rsidR="00A52092" w:rsidRPr="001043A2" w:rsidRDefault="00A52092" w:rsidP="00F37BB7">
      <w:pPr>
        <w:rPr>
          <w:rFonts w:cs="Times New Roman"/>
        </w:rPr>
      </w:pPr>
      <w:r w:rsidRPr="001043A2">
        <w:t xml:space="preserve">Para dar una respuesta </w:t>
      </w:r>
      <w:r w:rsidRPr="001043A2">
        <w:rPr>
          <w:b/>
          <w:bCs/>
          <w:i/>
          <w:iCs/>
        </w:rPr>
        <w:t>R</w:t>
      </w:r>
      <w:r w:rsidRPr="001043A2">
        <w:rPr>
          <w:vertAlign w:val="subscript"/>
        </w:rPr>
        <w:t>212</w:t>
      </w:r>
      <w:r w:rsidRPr="001043A2">
        <w:t xml:space="preserve"> a </w:t>
      </w:r>
      <w:r w:rsidRPr="001043A2">
        <w:rPr>
          <w:b/>
          <w:bCs/>
          <w:i/>
          <w:iCs/>
        </w:rPr>
        <w:t>Q</w:t>
      </w:r>
      <w:r w:rsidRPr="001043A2">
        <w:rPr>
          <w:vertAlign w:val="subscript"/>
        </w:rPr>
        <w:t>212</w:t>
      </w:r>
      <w:r w:rsidRPr="001043A2">
        <w:t xml:space="preserve"> vamos a resolver el tipo de tareas </w:t>
      </w:r>
      <w:r w:rsidRPr="001043A2">
        <w:rPr>
          <w:b/>
          <w:bCs/>
          <w:i/>
          <w:iCs/>
        </w:rPr>
        <w:t>T</w:t>
      </w:r>
      <w:r w:rsidRPr="001043A2">
        <w:rPr>
          <w:vertAlign w:val="subscript"/>
        </w:rPr>
        <w:t>212</w:t>
      </w:r>
      <w:r w:rsidRPr="001043A2">
        <w:t> = </w:t>
      </w:r>
      <w:r w:rsidRPr="001043A2">
        <w:rPr>
          <w:i/>
          <w:iCs/>
        </w:rPr>
        <w:t>Determinar y construir una pirámide recta de base poligonal regular</w:t>
      </w:r>
      <w:r w:rsidRPr="001043A2">
        <w:t xml:space="preserve">. Es fácil comprobar que </w:t>
      </w:r>
      <w:r w:rsidRPr="001043A2">
        <w:rPr>
          <w:rFonts w:cs="Times New Roman"/>
        </w:rPr>
        <w:t>para determinar la forma de una pirámide recta de base poligonal regular (fijado el tipo de polígono regular que hace de base) basta con un dato. Una vez fijada dicha forma se requiere otro dato para fijar el tamaño de la pirámide.</w:t>
      </w:r>
    </w:p>
    <w:p w14:paraId="223DFF7E" w14:textId="77777777" w:rsidR="00A52092" w:rsidRPr="001043A2" w:rsidRDefault="00A52092" w:rsidP="00F37BB7">
      <w:r w:rsidRPr="001043A2">
        <w:lastRenderedPageBreak/>
        <w:t xml:space="preserve">Aquí nos ceñiremos al caso particular de una pirámide recta de base hexagonal regular. Entonces, tendremos en cuenta la relación entre algunos de los elementos </w:t>
      </w:r>
      <w:proofErr w:type="spellStart"/>
      <w:r w:rsidRPr="001043A2">
        <w:t>intrafigurales</w:t>
      </w:r>
      <w:proofErr w:type="spellEnd"/>
      <w:r w:rsidRPr="001043A2">
        <w:t xml:space="preserve"> como, por ejemplo, la altura </w:t>
      </w:r>
      <w:r w:rsidRPr="001043A2">
        <w:rPr>
          <w:b/>
          <w:bCs/>
          <w:i/>
          <w:iCs/>
        </w:rPr>
        <w:t>H</w:t>
      </w:r>
      <w:r w:rsidRPr="001043A2">
        <w:rPr>
          <w:b/>
          <w:bCs/>
        </w:rPr>
        <w:t xml:space="preserve"> </w:t>
      </w:r>
      <w:r w:rsidRPr="001043A2">
        <w:t xml:space="preserve">de la pirámide, la apotema </w:t>
      </w:r>
      <w:r w:rsidRPr="001043A2">
        <w:rPr>
          <w:b/>
          <w:bCs/>
          <w:i/>
          <w:iCs/>
        </w:rPr>
        <w:t>a</w:t>
      </w:r>
      <w:r w:rsidRPr="001043A2">
        <w:t xml:space="preserve">, la arista </w:t>
      </w:r>
      <w:r w:rsidRPr="001043A2">
        <w:rPr>
          <w:b/>
          <w:bCs/>
          <w:i/>
          <w:iCs/>
        </w:rPr>
        <w:t>l</w:t>
      </w:r>
      <w:r w:rsidRPr="001043A2">
        <w:t xml:space="preserve"> de la base y la arista </w:t>
      </w:r>
      <w:r w:rsidRPr="001043A2">
        <w:rPr>
          <w:b/>
          <w:bCs/>
          <w:i/>
          <w:iCs/>
        </w:rPr>
        <w:t>L</w:t>
      </w:r>
      <w:r w:rsidRPr="001043A2">
        <w:t xml:space="preserve"> de las caras laterales.</w:t>
      </w:r>
    </w:p>
    <w:p w14:paraId="3F7F3F4B" w14:textId="386F9CF5" w:rsidR="00A52092" w:rsidRDefault="00A52092" w:rsidP="00F37BB7">
      <w:pPr>
        <w:rPr>
          <w:rFonts w:cs="Times New Roman"/>
        </w:rPr>
      </w:pPr>
      <w:r w:rsidRPr="001043A2">
        <w:rPr>
          <w:rFonts w:cs="Times New Roman"/>
        </w:rPr>
        <w:t xml:space="preserve">Elegimos considerar todas las pirámides rectas de base hexagonal regular en las que la razón entre su altura </w:t>
      </w:r>
      <w:r w:rsidRPr="001043A2">
        <w:rPr>
          <w:rFonts w:cs="Times New Roman"/>
          <w:b/>
          <w:bCs/>
          <w:i/>
          <w:iCs/>
        </w:rPr>
        <w:t>H</w:t>
      </w:r>
      <w:r w:rsidRPr="001043A2">
        <w:rPr>
          <w:rFonts w:cs="Times New Roman"/>
        </w:rPr>
        <w:t xml:space="preserve"> y la arista de la base</w:t>
      </w:r>
      <w:r w:rsidRPr="0081331B">
        <w:rPr>
          <w:rFonts w:cs="Times New Roman"/>
          <w:b/>
          <w:bCs/>
        </w:rPr>
        <w:t xml:space="preserve"> </w:t>
      </w:r>
      <w:r w:rsidRPr="0081331B">
        <w:rPr>
          <w:rFonts w:cs="Times New Roman"/>
          <w:b/>
          <w:bCs/>
          <w:i/>
          <w:iCs/>
        </w:rPr>
        <w:t>l</w:t>
      </w:r>
      <w:r w:rsidRPr="00C50692">
        <w:rPr>
          <w:rFonts w:cs="Times New Roman"/>
        </w:rPr>
        <w:t xml:space="preserve"> es, </w:t>
      </w:r>
      <m:oMath>
        <m:f>
          <m:fPr>
            <m:ctrlPr>
              <w:rPr>
                <w:rFonts w:ascii="Cambria Math" w:hAnsi="Cambria Math" w:cs="Times New Roman"/>
                <w:b/>
                <w:bCs/>
                <w:i/>
              </w:rPr>
            </m:ctrlPr>
          </m:fPr>
          <m:num>
            <m:r>
              <m:rPr>
                <m:sty m:val="bi"/>
              </m:rPr>
              <w:rPr>
                <w:rFonts w:ascii="Cambria Math" w:hAnsi="Cambria Math" w:cs="Times New Roman"/>
              </w:rPr>
              <m:t>H</m:t>
            </m:r>
          </m:num>
          <m:den>
            <m:r>
              <m:rPr>
                <m:sty m:val="bi"/>
              </m:rPr>
              <w:rPr>
                <w:rFonts w:ascii="Cambria Math" w:hAnsi="Cambria Math" w:cs="Times New Roman"/>
              </w:rPr>
              <m:t>l</m:t>
            </m:r>
          </m:den>
        </m:f>
        <m:r>
          <w:rPr>
            <w:rFonts w:ascii="Cambria Math" w:hAnsi="Cambria Math" w:cs="Times New Roman"/>
          </w:rPr>
          <m:t>=2</m:t>
        </m:r>
      </m:oMath>
      <w:r w:rsidRPr="00C50692">
        <w:rPr>
          <w:rFonts w:cs="Times New Roman"/>
        </w:rPr>
        <w:t>, y de esta manera tendremos que dichas pirámides tendrán la misma forma. Podremos comprobarlo utilizando GeoGebra construyendo una pirámide recta de base hexagonal regular anclada a dos deslizadores; el primero permite manipular el tamaño del lado</w:t>
      </w:r>
      <w:r w:rsidRPr="0081331B">
        <w:rPr>
          <w:rFonts w:cs="Times New Roman"/>
          <w:b/>
          <w:bCs/>
        </w:rPr>
        <w:t xml:space="preserve"> </w:t>
      </w:r>
      <w:r w:rsidRPr="0081331B">
        <w:rPr>
          <w:rFonts w:cs="Times New Roman"/>
          <w:b/>
          <w:bCs/>
          <w:i/>
          <w:iCs/>
        </w:rPr>
        <w:t>l</w:t>
      </w:r>
      <w:r w:rsidRPr="00C50692">
        <w:rPr>
          <w:rFonts w:cs="Times New Roman"/>
        </w:rPr>
        <w:t xml:space="preserve"> de</w:t>
      </w:r>
      <w:r>
        <w:rPr>
          <w:rFonts w:cs="Times New Roman"/>
        </w:rPr>
        <w:t>l</w:t>
      </w:r>
      <w:r w:rsidRPr="00C50692">
        <w:rPr>
          <w:rFonts w:cs="Times New Roman"/>
        </w:rPr>
        <w:t xml:space="preserve"> hexágono regular que sirve de base a la pirámide; y el segundo, permite variar la altura </w:t>
      </w:r>
      <w:r w:rsidRPr="0081331B">
        <w:rPr>
          <w:rFonts w:cs="Times New Roman"/>
          <w:b/>
          <w:bCs/>
          <w:i/>
          <w:iCs/>
        </w:rPr>
        <w:t>H</w:t>
      </w:r>
      <w:r w:rsidRPr="00C50692">
        <w:rPr>
          <w:rFonts w:cs="Times New Roman"/>
        </w:rPr>
        <w:t xml:space="preserve"> de la pirámide. La manipulación aleatoria de estos deslizadores permite obtener un conjunto infinito de formas de pirámides regulares de base hexagonal. También, la vinculación de un texto dinámico que evalúa la razón entre </w:t>
      </w:r>
      <w:r w:rsidRPr="0081331B">
        <w:rPr>
          <w:rFonts w:cs="Times New Roman"/>
          <w:b/>
          <w:bCs/>
          <w:i/>
          <w:iCs/>
        </w:rPr>
        <w:t>H</w:t>
      </w:r>
      <w:r w:rsidRPr="00C50692">
        <w:rPr>
          <w:rFonts w:cs="Times New Roman"/>
        </w:rPr>
        <w:t xml:space="preserve"> y </w:t>
      </w:r>
      <w:proofErr w:type="spellStart"/>
      <w:r w:rsidRPr="0081331B">
        <w:rPr>
          <w:rFonts w:cs="Times New Roman"/>
          <w:b/>
          <w:bCs/>
          <w:i/>
          <w:iCs/>
        </w:rPr>
        <w:t>l</w:t>
      </w:r>
      <w:proofErr w:type="spellEnd"/>
      <w:r w:rsidRPr="0081331B">
        <w:rPr>
          <w:rFonts w:cs="Times New Roman"/>
          <w:b/>
          <w:bCs/>
        </w:rPr>
        <w:t xml:space="preserve"> </w:t>
      </w:r>
      <w:r w:rsidRPr="00C50692">
        <w:rPr>
          <w:rFonts w:cs="Times New Roman"/>
        </w:rPr>
        <w:t xml:space="preserve">permite verificar para qué valores de </w:t>
      </w:r>
      <w:r w:rsidRPr="0081331B">
        <w:rPr>
          <w:rFonts w:cs="Times New Roman"/>
          <w:b/>
          <w:bCs/>
          <w:i/>
          <w:iCs/>
        </w:rPr>
        <w:t>H</w:t>
      </w:r>
      <w:r w:rsidRPr="00C50692">
        <w:rPr>
          <w:rFonts w:cs="Times New Roman"/>
        </w:rPr>
        <w:t xml:space="preserve"> y de </w:t>
      </w:r>
      <w:r w:rsidRPr="0081331B">
        <w:rPr>
          <w:rFonts w:cs="Times New Roman"/>
          <w:b/>
          <w:bCs/>
          <w:i/>
          <w:iCs/>
        </w:rPr>
        <w:t>l</w:t>
      </w:r>
      <w:r w:rsidRPr="00C50692">
        <w:rPr>
          <w:rFonts w:cs="Times New Roman"/>
        </w:rPr>
        <w:t>, se obtienen pirámides con la misma forma, es decir, pirámides semejantes (</w:t>
      </w:r>
      <w:r w:rsidR="009343D0" w:rsidRPr="009343D0">
        <w:rPr>
          <w:rFonts w:cs="Times New Roman"/>
        </w:rPr>
        <w:fldChar w:fldCharType="begin"/>
      </w:r>
      <w:r w:rsidR="009343D0" w:rsidRPr="009343D0">
        <w:rPr>
          <w:rFonts w:cs="Times New Roman"/>
        </w:rPr>
        <w:instrText xml:space="preserve"> REF _Ref102818188 \h  \* MERGEFORMAT </w:instrText>
      </w:r>
      <w:r w:rsidR="009343D0" w:rsidRPr="009343D0">
        <w:rPr>
          <w:rFonts w:cs="Times New Roman"/>
        </w:rPr>
      </w:r>
      <w:r w:rsidR="009343D0" w:rsidRPr="009343D0">
        <w:rPr>
          <w:rFonts w:cs="Times New Roman"/>
        </w:rPr>
        <w:fldChar w:fldCharType="separate"/>
      </w:r>
      <w:r w:rsidR="009343D0" w:rsidRPr="009343D0">
        <w:t xml:space="preserve">Figura </w:t>
      </w:r>
      <w:r w:rsidR="009343D0" w:rsidRPr="009343D0">
        <w:rPr>
          <w:noProof/>
        </w:rPr>
        <w:t>10</w:t>
      </w:r>
      <w:r w:rsidR="009343D0" w:rsidRPr="009343D0">
        <w:rPr>
          <w:rFonts w:cs="Times New Roman"/>
        </w:rPr>
        <w:fldChar w:fldCharType="end"/>
      </w:r>
      <w:r w:rsidRPr="00C50692">
        <w:rPr>
          <w:rFonts w:cs="Times New Roman"/>
        </w:rPr>
        <w:t>).</w:t>
      </w:r>
      <w:r>
        <w:rPr>
          <w:rFonts w:cs="Times New Roman"/>
        </w:rPr>
        <w:t xml:space="preserve"> En este caso, se puede observar que para construir cada una de estas pirámides, es decir, para determinar su tamaño, se necesita atribuir valores a </w:t>
      </w:r>
      <w:r w:rsidRPr="0081331B">
        <w:rPr>
          <w:rFonts w:cs="Times New Roman"/>
          <w:b/>
          <w:bCs/>
          <w:i/>
          <w:iCs/>
        </w:rPr>
        <w:t xml:space="preserve">l </w:t>
      </w:r>
      <w:r>
        <w:rPr>
          <w:rFonts w:cs="Times New Roman"/>
        </w:rPr>
        <w:t xml:space="preserve">y a </w:t>
      </w:r>
      <w:r w:rsidRPr="0081331B">
        <w:rPr>
          <w:rFonts w:cs="Times New Roman"/>
          <w:b/>
          <w:bCs/>
          <w:i/>
          <w:iCs/>
        </w:rPr>
        <w:t>H</w:t>
      </w:r>
      <w:r w:rsidRPr="0081331B">
        <w:rPr>
          <w:rFonts w:cs="Times New Roman"/>
        </w:rPr>
        <w:t>.</w:t>
      </w:r>
    </w:p>
    <w:p w14:paraId="794CAEED" w14:textId="38C45A44" w:rsidR="00BA692F" w:rsidRDefault="00BA692F" w:rsidP="00BA692F">
      <w:pPr>
        <w:pStyle w:val="Legenda"/>
        <w:rPr>
          <w:b/>
          <w:bCs/>
        </w:rPr>
      </w:pPr>
      <w:bookmarkStart w:id="14" w:name="_Ref102818188"/>
      <w:r w:rsidRPr="00BA692F">
        <w:rPr>
          <w:b/>
          <w:bCs/>
        </w:rPr>
        <w:t xml:space="preserve">Figura </w:t>
      </w:r>
      <w:r w:rsidRPr="00BA692F">
        <w:rPr>
          <w:b/>
          <w:bCs/>
        </w:rPr>
        <w:fldChar w:fldCharType="begin"/>
      </w:r>
      <w:r w:rsidRPr="00BA692F">
        <w:rPr>
          <w:b/>
          <w:bCs/>
        </w:rPr>
        <w:instrText xml:space="preserve"> SEQ Figura \* ARABIC </w:instrText>
      </w:r>
      <w:r w:rsidRPr="00BA692F">
        <w:rPr>
          <w:b/>
          <w:bCs/>
        </w:rPr>
        <w:fldChar w:fldCharType="separate"/>
      </w:r>
      <w:r w:rsidR="001F1E38">
        <w:rPr>
          <w:b/>
          <w:bCs/>
          <w:noProof/>
        </w:rPr>
        <w:t>10</w:t>
      </w:r>
      <w:r w:rsidRPr="00BA692F">
        <w:rPr>
          <w:b/>
          <w:bCs/>
        </w:rPr>
        <w:fldChar w:fldCharType="end"/>
      </w:r>
      <w:bookmarkEnd w:id="14"/>
      <w:r w:rsidRPr="00BA692F">
        <w:rPr>
          <w:b/>
          <w:bCs/>
        </w:rPr>
        <w:t>.</w:t>
      </w:r>
    </w:p>
    <w:p w14:paraId="5D099CA1" w14:textId="78BCAD2E" w:rsidR="00BA692F" w:rsidRPr="00BA692F" w:rsidRDefault="00BA692F" w:rsidP="00BA692F">
      <w:pPr>
        <w:pStyle w:val="Legenda"/>
        <w:rPr>
          <w:b/>
          <w:bCs/>
        </w:rPr>
      </w:pPr>
      <w:r>
        <w:rPr>
          <w:i w:val="0"/>
          <w:iCs w:val="0"/>
          <w:sz w:val="20"/>
          <w:szCs w:val="20"/>
        </w:rPr>
        <w:t>P</w:t>
      </w:r>
      <w:r w:rsidRPr="0081331B">
        <w:rPr>
          <w:i w:val="0"/>
          <w:iCs w:val="0"/>
          <w:sz w:val="20"/>
          <w:szCs w:val="20"/>
        </w:rPr>
        <w:t xml:space="preserve">irámides </w:t>
      </w:r>
      <w:r>
        <w:rPr>
          <w:i w:val="0"/>
          <w:iCs w:val="0"/>
          <w:sz w:val="20"/>
          <w:szCs w:val="20"/>
        </w:rPr>
        <w:t>rectas</w:t>
      </w:r>
      <w:r w:rsidRPr="0081331B">
        <w:rPr>
          <w:i w:val="0"/>
          <w:iCs w:val="0"/>
          <w:sz w:val="20"/>
          <w:szCs w:val="20"/>
        </w:rPr>
        <w:t xml:space="preserve"> de base hexagonal </w:t>
      </w:r>
      <w:r>
        <w:rPr>
          <w:i w:val="0"/>
          <w:iCs w:val="0"/>
          <w:sz w:val="20"/>
          <w:szCs w:val="20"/>
        </w:rPr>
        <w:t>regular semejantes</w:t>
      </w:r>
      <w:r w:rsidRPr="0081331B">
        <w:rPr>
          <w:i w:val="0"/>
          <w:iCs w:val="0"/>
          <w:sz w:val="20"/>
          <w:szCs w:val="20"/>
        </w:rPr>
        <w:t xml:space="preserve">, cuya razón entre </w:t>
      </w:r>
      <w:r w:rsidRPr="0081331B">
        <w:rPr>
          <w:b/>
          <w:bCs/>
          <w:sz w:val="20"/>
          <w:szCs w:val="20"/>
        </w:rPr>
        <w:t>H</w:t>
      </w:r>
      <w:r w:rsidRPr="0081331B">
        <w:rPr>
          <w:i w:val="0"/>
          <w:iCs w:val="0"/>
          <w:sz w:val="20"/>
          <w:szCs w:val="20"/>
        </w:rPr>
        <w:t xml:space="preserve"> y </w:t>
      </w:r>
      <w:r w:rsidRPr="0081331B">
        <w:rPr>
          <w:b/>
          <w:bCs/>
          <w:sz w:val="20"/>
          <w:szCs w:val="20"/>
        </w:rPr>
        <w:t xml:space="preserve">l </w:t>
      </w:r>
      <w:r w:rsidRPr="0081331B">
        <w:rPr>
          <w:i w:val="0"/>
          <w:iCs w:val="0"/>
          <w:sz w:val="20"/>
          <w:szCs w:val="20"/>
        </w:rPr>
        <w:t>es 2</w:t>
      </w:r>
    </w:p>
    <w:p w14:paraId="0FABF4C5" w14:textId="77777777" w:rsidR="00A52092" w:rsidRDefault="00A52092" w:rsidP="00A52092">
      <w:pPr>
        <w:jc w:val="center"/>
      </w:pPr>
      <w:r>
        <w:rPr>
          <w:noProof/>
          <w:lang w:val="pt-BR" w:eastAsia="pt-BR" w:bidi="ar-SA"/>
        </w:rPr>
        <w:drawing>
          <wp:inline distT="0" distB="0" distL="0" distR="0" wp14:anchorId="0A60C7EA" wp14:editId="58538FD7">
            <wp:extent cx="2575296" cy="2160000"/>
            <wp:effectExtent l="0" t="0" r="0" b="0"/>
            <wp:docPr id="35" name="Imagen 35"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radial&#10;&#10;Descripción generada automáticamente"/>
                    <pic:cNvPicPr/>
                  </pic:nvPicPr>
                  <pic:blipFill rotWithShape="1">
                    <a:blip r:embed="rId17" cstate="print">
                      <a:extLst>
                        <a:ext uri="{28A0092B-C50C-407E-A947-70E740481C1C}">
                          <a14:useLocalDpi xmlns:a14="http://schemas.microsoft.com/office/drawing/2010/main" val="0"/>
                        </a:ext>
                      </a:extLst>
                    </a:blip>
                    <a:srcRect l="27146" t="7411" r="13079" b="3457"/>
                    <a:stretch/>
                  </pic:blipFill>
                  <pic:spPr bwMode="auto">
                    <a:xfrm>
                      <a:off x="0" y="0"/>
                      <a:ext cx="2575296" cy="2160000"/>
                    </a:xfrm>
                    <a:prstGeom prst="rect">
                      <a:avLst/>
                    </a:prstGeom>
                    <a:ln>
                      <a:noFill/>
                    </a:ln>
                    <a:extLst>
                      <a:ext uri="{53640926-AAD7-44D8-BBD7-CCE9431645EC}">
                        <a14:shadowObscured xmlns:a14="http://schemas.microsoft.com/office/drawing/2010/main"/>
                      </a:ext>
                    </a:extLst>
                  </pic:spPr>
                </pic:pic>
              </a:graphicData>
            </a:graphic>
          </wp:inline>
        </w:drawing>
      </w:r>
    </w:p>
    <w:p w14:paraId="26828E2B" w14:textId="77777777" w:rsidR="00883025" w:rsidRPr="009156D2" w:rsidRDefault="00883025" w:rsidP="00883025">
      <w:pPr>
        <w:pStyle w:val="Ttulo2"/>
      </w:pPr>
      <w:r w:rsidRPr="009156D2">
        <w:lastRenderedPageBreak/>
        <w:t xml:space="preserve">Determinación y construcción de un cono recto </w:t>
      </w:r>
    </w:p>
    <w:p w14:paraId="7994DACA" w14:textId="5CD7A961" w:rsidR="00883025" w:rsidRDefault="00883025" w:rsidP="00883025">
      <w:r>
        <w:t xml:space="preserve">De manera homologa a como hemos procedido en el caso de la pirámide recta de base hexagonal regular, podemos hacerlo para elaborar una respuesta </w:t>
      </w:r>
      <w:r w:rsidRPr="009156D2">
        <w:rPr>
          <w:b/>
          <w:bCs/>
          <w:i/>
          <w:iCs/>
        </w:rPr>
        <w:t>R</w:t>
      </w:r>
      <w:r w:rsidRPr="009156D2">
        <w:rPr>
          <w:vertAlign w:val="subscript"/>
        </w:rPr>
        <w:t>213</w:t>
      </w:r>
      <w:r w:rsidRPr="009156D2">
        <w:t xml:space="preserve"> </w:t>
      </w:r>
      <w:r>
        <w:t xml:space="preserve">a </w:t>
      </w:r>
      <w:r w:rsidRPr="009156D2">
        <w:rPr>
          <w:b/>
          <w:bCs/>
          <w:i/>
          <w:iCs/>
        </w:rPr>
        <w:t>Q</w:t>
      </w:r>
      <w:r w:rsidRPr="009156D2">
        <w:rPr>
          <w:vertAlign w:val="subscript"/>
        </w:rPr>
        <w:t>213</w:t>
      </w:r>
      <w:r>
        <w:t xml:space="preserve">. La tarea que vamos a resolver es </w:t>
      </w:r>
      <w:r w:rsidRPr="00491177">
        <w:rPr>
          <w:b/>
          <w:bCs/>
          <w:i/>
          <w:iCs/>
        </w:rPr>
        <w:t>t</w:t>
      </w:r>
      <w:r w:rsidRPr="00491177">
        <w:rPr>
          <w:vertAlign w:val="subscript"/>
        </w:rPr>
        <w:t>213</w:t>
      </w:r>
      <w:r>
        <w:t> = </w:t>
      </w:r>
      <w:r w:rsidRPr="0083287A">
        <w:rPr>
          <w:i/>
          <w:iCs/>
        </w:rPr>
        <w:t xml:space="preserve">Determinar </w:t>
      </w:r>
      <w:r>
        <w:rPr>
          <w:i/>
          <w:iCs/>
        </w:rPr>
        <w:t>y construir</w:t>
      </w:r>
      <w:r w:rsidRPr="0083287A">
        <w:rPr>
          <w:i/>
          <w:iCs/>
        </w:rPr>
        <w:t xml:space="preserve"> un cono</w:t>
      </w:r>
      <w:r w:rsidR="00877A9C">
        <w:rPr>
          <w:i/>
          <w:iCs/>
        </w:rPr>
        <w:t xml:space="preserve"> recto</w:t>
      </w:r>
      <w:r>
        <w:t xml:space="preserve">. Consideraremos relaciones de los elementos de la base del sólido, como el radio </w:t>
      </w:r>
      <w:r w:rsidRPr="009A49D2">
        <w:rPr>
          <w:b/>
          <w:bCs/>
          <w:i/>
          <w:iCs/>
        </w:rPr>
        <w:t>r</w:t>
      </w:r>
      <w:r>
        <w:t xml:space="preserve"> de la base con la altura </w:t>
      </w:r>
      <w:r w:rsidRPr="0083287A">
        <w:rPr>
          <w:b/>
          <w:bCs/>
          <w:i/>
          <w:iCs/>
        </w:rPr>
        <w:t>H</w:t>
      </w:r>
      <w:r>
        <w:t xml:space="preserve"> del cono o la generatriz </w:t>
      </w:r>
      <w:r w:rsidRPr="0083287A">
        <w:rPr>
          <w:b/>
          <w:bCs/>
          <w:i/>
          <w:iCs/>
        </w:rPr>
        <w:t>g</w:t>
      </w:r>
      <w:r>
        <w:t xml:space="preserve">, ya que ello nos va a permitir determinar la forma del cono. Por ejemplo, todos los conos rectos en los que la razón entre su altura </w:t>
      </w:r>
      <w:r w:rsidRPr="0083287A">
        <w:rPr>
          <w:b/>
          <w:bCs/>
          <w:i/>
          <w:iCs/>
        </w:rPr>
        <w:t>H</w:t>
      </w:r>
      <w:r>
        <w:t xml:space="preserve"> y su radio de la base </w:t>
      </w:r>
      <w:r w:rsidRPr="0083287A">
        <w:rPr>
          <w:b/>
          <w:bCs/>
          <w:i/>
          <w:iCs/>
        </w:rPr>
        <w:t>r</w:t>
      </w:r>
      <w:r>
        <w:t xml:space="preserve"> es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tendrán la misma forma (</w:t>
      </w:r>
      <w:r w:rsidR="00250469" w:rsidRPr="00250469">
        <w:fldChar w:fldCharType="begin"/>
      </w:r>
      <w:r w:rsidR="00250469" w:rsidRPr="00250469">
        <w:instrText xml:space="preserve"> REF _Ref102818305 \h  \* MERGEFORMAT </w:instrText>
      </w:r>
      <w:r w:rsidR="00250469" w:rsidRPr="00250469">
        <w:fldChar w:fldCharType="separate"/>
      </w:r>
      <w:r w:rsidR="00250469" w:rsidRPr="00250469">
        <w:t xml:space="preserve">Figura </w:t>
      </w:r>
      <w:r w:rsidR="00250469" w:rsidRPr="00250469">
        <w:rPr>
          <w:noProof/>
        </w:rPr>
        <w:t>11</w:t>
      </w:r>
      <w:r w:rsidR="00250469" w:rsidRPr="00250469">
        <w:fldChar w:fldCharType="end"/>
      </w:r>
      <w:r w:rsidRPr="000C5083">
        <w:t>).</w:t>
      </w:r>
    </w:p>
    <w:p w14:paraId="3F6D5FB1" w14:textId="0DACE5C2" w:rsidR="00E75F2D" w:rsidRPr="00E75F2D" w:rsidRDefault="00E75F2D" w:rsidP="00E75F2D">
      <w:pPr>
        <w:pStyle w:val="Legenda"/>
        <w:rPr>
          <w:b/>
          <w:bCs/>
        </w:rPr>
      </w:pPr>
      <w:bookmarkStart w:id="15" w:name="_Ref102818305"/>
      <w:r w:rsidRPr="00E75F2D">
        <w:rPr>
          <w:b/>
          <w:bCs/>
        </w:rPr>
        <w:t xml:space="preserve">Figura </w:t>
      </w:r>
      <w:r w:rsidRPr="00E75F2D">
        <w:rPr>
          <w:b/>
          <w:bCs/>
        </w:rPr>
        <w:fldChar w:fldCharType="begin"/>
      </w:r>
      <w:r w:rsidRPr="00E75F2D">
        <w:rPr>
          <w:b/>
          <w:bCs/>
        </w:rPr>
        <w:instrText xml:space="preserve"> SEQ Figura \* ARABIC </w:instrText>
      </w:r>
      <w:r w:rsidRPr="00E75F2D">
        <w:rPr>
          <w:b/>
          <w:bCs/>
        </w:rPr>
        <w:fldChar w:fldCharType="separate"/>
      </w:r>
      <w:r w:rsidR="001F1E38">
        <w:rPr>
          <w:b/>
          <w:bCs/>
          <w:noProof/>
        </w:rPr>
        <w:t>11</w:t>
      </w:r>
      <w:r w:rsidRPr="00E75F2D">
        <w:rPr>
          <w:b/>
          <w:bCs/>
        </w:rPr>
        <w:fldChar w:fldCharType="end"/>
      </w:r>
      <w:bookmarkEnd w:id="15"/>
      <w:r w:rsidRPr="00E75F2D">
        <w:rPr>
          <w:b/>
          <w:bCs/>
        </w:rPr>
        <w:t>.</w:t>
      </w:r>
    </w:p>
    <w:p w14:paraId="7F2F9215" w14:textId="5756FE7A" w:rsidR="00E75F2D" w:rsidRDefault="00E75F2D" w:rsidP="00E75F2D">
      <w:pPr>
        <w:pStyle w:val="Legenda"/>
      </w:pPr>
      <w:r w:rsidRPr="0083287A">
        <w:rPr>
          <w:sz w:val="20"/>
          <w:szCs w:val="20"/>
        </w:rPr>
        <w:t xml:space="preserve">Conos rectos con la misma forma, cuya razón entre </w:t>
      </w:r>
      <w:r w:rsidRPr="0083287A">
        <w:rPr>
          <w:b/>
          <w:bCs/>
          <w:sz w:val="20"/>
          <w:szCs w:val="20"/>
        </w:rPr>
        <w:t>H</w:t>
      </w:r>
      <w:r w:rsidRPr="0083287A">
        <w:rPr>
          <w:sz w:val="20"/>
          <w:szCs w:val="20"/>
        </w:rPr>
        <w:t xml:space="preserve"> y </w:t>
      </w:r>
      <w:r w:rsidRPr="0083287A">
        <w:rPr>
          <w:b/>
          <w:bCs/>
          <w:sz w:val="20"/>
          <w:szCs w:val="20"/>
        </w:rPr>
        <w:t>r</w:t>
      </w:r>
      <w:r w:rsidRPr="0083287A">
        <w:rPr>
          <w:sz w:val="20"/>
          <w:szCs w:val="20"/>
        </w:rPr>
        <w:t xml:space="preserve"> es 1/2</w:t>
      </w:r>
    </w:p>
    <w:p w14:paraId="5E9A690C" w14:textId="77777777" w:rsidR="00883025" w:rsidRDefault="00883025" w:rsidP="00883025">
      <w:pPr>
        <w:jc w:val="center"/>
      </w:pPr>
      <w:r>
        <w:rPr>
          <w:noProof/>
          <w:lang w:val="pt-BR" w:eastAsia="pt-BR" w:bidi="ar-SA"/>
        </w:rPr>
        <w:drawing>
          <wp:inline distT="0" distB="0" distL="0" distR="0" wp14:anchorId="31B6FBC9" wp14:editId="49E02D35">
            <wp:extent cx="2777354" cy="1944000"/>
            <wp:effectExtent l="0" t="0" r="0" b="0"/>
            <wp:docPr id="9" name="Imagen 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radial&#10;&#10;Descripción generada automáticamente"/>
                    <pic:cNvPicPr/>
                  </pic:nvPicPr>
                  <pic:blipFill rotWithShape="1">
                    <a:blip r:embed="rId18" cstate="print">
                      <a:extLst>
                        <a:ext uri="{28A0092B-C50C-407E-A947-70E740481C1C}">
                          <a14:useLocalDpi xmlns:a14="http://schemas.microsoft.com/office/drawing/2010/main" val="0"/>
                        </a:ext>
                      </a:extLst>
                    </a:blip>
                    <a:srcRect l="20717" t="8257" r="17015" b="14259"/>
                    <a:stretch/>
                  </pic:blipFill>
                  <pic:spPr bwMode="auto">
                    <a:xfrm>
                      <a:off x="0" y="0"/>
                      <a:ext cx="2777354" cy="1944000"/>
                    </a:xfrm>
                    <a:prstGeom prst="rect">
                      <a:avLst/>
                    </a:prstGeom>
                    <a:ln>
                      <a:noFill/>
                    </a:ln>
                    <a:extLst>
                      <a:ext uri="{53640926-AAD7-44D8-BBD7-CCE9431645EC}">
                        <a14:shadowObscured xmlns:a14="http://schemas.microsoft.com/office/drawing/2010/main"/>
                      </a:ext>
                    </a:extLst>
                  </pic:spPr>
                </pic:pic>
              </a:graphicData>
            </a:graphic>
          </wp:inline>
        </w:drawing>
      </w:r>
    </w:p>
    <w:p w14:paraId="3CF6D0BB" w14:textId="14037B5C" w:rsidR="00883025" w:rsidRDefault="00883025" w:rsidP="00537DC5">
      <w:r>
        <w:t xml:space="preserve">También podríamos considerar que todos los conos rectos en los que el ángulo entre la generatriz </w:t>
      </w:r>
      <w:r w:rsidRPr="001E3C6B">
        <w:rPr>
          <w:b/>
          <w:bCs/>
          <w:i/>
          <w:iCs/>
        </w:rPr>
        <w:t xml:space="preserve">g </w:t>
      </w:r>
      <w:r>
        <w:t xml:space="preserve">y el radio </w:t>
      </w:r>
      <w:r w:rsidRPr="001E3C6B">
        <w:rPr>
          <w:i/>
          <w:iCs/>
        </w:rPr>
        <w:t>r</w:t>
      </w:r>
      <w:r>
        <w:t xml:space="preserve"> de la base del cono es de 50º tendrán la misma forma (</w:t>
      </w:r>
      <w:r w:rsidR="00DE340C" w:rsidRPr="00DE340C">
        <w:fldChar w:fldCharType="begin"/>
      </w:r>
      <w:r w:rsidR="00DE340C" w:rsidRPr="00DE340C">
        <w:instrText xml:space="preserve"> REF _Ref102818383 \h  \* MERGEFORMAT </w:instrText>
      </w:r>
      <w:r w:rsidR="00DE340C" w:rsidRPr="00DE340C">
        <w:fldChar w:fldCharType="separate"/>
      </w:r>
      <w:r w:rsidR="00DE340C" w:rsidRPr="00DE340C">
        <w:t xml:space="preserve">Figura </w:t>
      </w:r>
      <w:r w:rsidR="00DE340C" w:rsidRPr="00DE340C">
        <w:rPr>
          <w:noProof/>
        </w:rPr>
        <w:t>12</w:t>
      </w:r>
      <w:r w:rsidR="00DE340C" w:rsidRPr="00DE340C">
        <w:fldChar w:fldCharType="end"/>
      </w:r>
      <w:r w:rsidRPr="000C5083">
        <w:t>).</w:t>
      </w:r>
    </w:p>
    <w:p w14:paraId="061C0243" w14:textId="3B5A5525" w:rsidR="00537DC5" w:rsidRPr="00537DC5" w:rsidRDefault="00537DC5" w:rsidP="00537DC5">
      <w:pPr>
        <w:pStyle w:val="Legenda"/>
        <w:rPr>
          <w:b/>
          <w:bCs/>
        </w:rPr>
      </w:pPr>
      <w:bookmarkStart w:id="16" w:name="_Ref102818383"/>
      <w:r w:rsidRPr="00537DC5">
        <w:rPr>
          <w:b/>
          <w:bCs/>
        </w:rPr>
        <w:t xml:space="preserve">Figura </w:t>
      </w:r>
      <w:r w:rsidRPr="00537DC5">
        <w:rPr>
          <w:b/>
          <w:bCs/>
        </w:rPr>
        <w:fldChar w:fldCharType="begin"/>
      </w:r>
      <w:r w:rsidRPr="00537DC5">
        <w:rPr>
          <w:b/>
          <w:bCs/>
        </w:rPr>
        <w:instrText xml:space="preserve"> SEQ Figura \* ARABIC </w:instrText>
      </w:r>
      <w:r w:rsidRPr="00537DC5">
        <w:rPr>
          <w:b/>
          <w:bCs/>
        </w:rPr>
        <w:fldChar w:fldCharType="separate"/>
      </w:r>
      <w:r w:rsidR="001F1E38">
        <w:rPr>
          <w:b/>
          <w:bCs/>
          <w:noProof/>
        </w:rPr>
        <w:t>12</w:t>
      </w:r>
      <w:r w:rsidRPr="00537DC5">
        <w:rPr>
          <w:b/>
          <w:bCs/>
        </w:rPr>
        <w:fldChar w:fldCharType="end"/>
      </w:r>
      <w:bookmarkEnd w:id="16"/>
      <w:r w:rsidRPr="00537DC5">
        <w:rPr>
          <w:b/>
          <w:bCs/>
        </w:rPr>
        <w:t>.</w:t>
      </w:r>
    </w:p>
    <w:p w14:paraId="67488D98" w14:textId="2A93E098" w:rsidR="00537DC5" w:rsidRDefault="00537DC5" w:rsidP="00537DC5">
      <w:pPr>
        <w:pStyle w:val="Legenda"/>
      </w:pPr>
      <w:r w:rsidRPr="001E3C6B">
        <w:rPr>
          <w:i w:val="0"/>
          <w:iCs w:val="0"/>
          <w:sz w:val="20"/>
          <w:szCs w:val="20"/>
        </w:rPr>
        <w:t>Conos rectos con la misma forma, cuy</w:t>
      </w:r>
      <w:r>
        <w:rPr>
          <w:i w:val="0"/>
          <w:iCs w:val="0"/>
          <w:sz w:val="20"/>
          <w:szCs w:val="20"/>
        </w:rPr>
        <w:t>o</w:t>
      </w:r>
      <w:r w:rsidRPr="001E3C6B">
        <w:rPr>
          <w:i w:val="0"/>
          <w:iCs w:val="0"/>
          <w:sz w:val="20"/>
          <w:szCs w:val="20"/>
        </w:rPr>
        <w:t xml:space="preserve"> ángulo entre </w:t>
      </w:r>
      <w:r w:rsidRPr="00DE13C2">
        <w:rPr>
          <w:b/>
          <w:bCs/>
          <w:sz w:val="20"/>
          <w:szCs w:val="20"/>
        </w:rPr>
        <w:t>g</w:t>
      </w:r>
      <w:r w:rsidRPr="00DE13C2">
        <w:rPr>
          <w:sz w:val="20"/>
          <w:szCs w:val="20"/>
        </w:rPr>
        <w:t xml:space="preserve"> </w:t>
      </w:r>
      <w:r w:rsidRPr="001E3C6B">
        <w:rPr>
          <w:i w:val="0"/>
          <w:iCs w:val="0"/>
          <w:sz w:val="20"/>
          <w:szCs w:val="20"/>
        </w:rPr>
        <w:t xml:space="preserve">y el radio </w:t>
      </w:r>
      <w:r w:rsidRPr="00DE13C2">
        <w:rPr>
          <w:b/>
          <w:bCs/>
          <w:sz w:val="20"/>
          <w:szCs w:val="20"/>
        </w:rPr>
        <w:t>r</w:t>
      </w:r>
      <w:r w:rsidRPr="001E3C6B">
        <w:rPr>
          <w:i w:val="0"/>
          <w:iCs w:val="0"/>
          <w:sz w:val="20"/>
          <w:szCs w:val="20"/>
        </w:rPr>
        <w:t xml:space="preserve"> es 50º</w:t>
      </w:r>
    </w:p>
    <w:p w14:paraId="6944F664" w14:textId="77777777" w:rsidR="00883025" w:rsidRDefault="00883025" w:rsidP="00537DC5">
      <w:pPr>
        <w:pStyle w:val="Legenda"/>
        <w:spacing w:after="0"/>
        <w:jc w:val="center"/>
      </w:pPr>
      <w:r>
        <w:rPr>
          <w:noProof/>
          <w:lang w:val="pt-BR" w:eastAsia="pt-BR" w:bidi="ar-SA"/>
        </w:rPr>
        <w:lastRenderedPageBreak/>
        <w:drawing>
          <wp:inline distT="0" distB="0" distL="0" distR="0" wp14:anchorId="3C49BA7D" wp14:editId="19CF0912">
            <wp:extent cx="3600000" cy="1484099"/>
            <wp:effectExtent l="0" t="0" r="0" b="0"/>
            <wp:docPr id="14" name="Imagen 1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10;&#10;Descripción generada automá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6625"/>
                    <a:stretch/>
                  </pic:blipFill>
                  <pic:spPr bwMode="auto">
                    <a:xfrm>
                      <a:off x="0" y="0"/>
                      <a:ext cx="3600000" cy="1484099"/>
                    </a:xfrm>
                    <a:prstGeom prst="rect">
                      <a:avLst/>
                    </a:prstGeom>
                    <a:noFill/>
                    <a:ln>
                      <a:noFill/>
                    </a:ln>
                    <a:extLst>
                      <a:ext uri="{53640926-AAD7-44D8-BBD7-CCE9431645EC}">
                        <a14:shadowObscured xmlns:a14="http://schemas.microsoft.com/office/drawing/2010/main"/>
                      </a:ext>
                    </a:extLst>
                  </pic:spPr>
                </pic:pic>
              </a:graphicData>
            </a:graphic>
          </wp:inline>
        </w:drawing>
      </w:r>
    </w:p>
    <w:p w14:paraId="00202EEA" w14:textId="01348040" w:rsidR="00014F6E" w:rsidRDefault="00014F6E" w:rsidP="00014F6E">
      <w:pPr>
        <w:pStyle w:val="Ttulo2"/>
      </w:pPr>
      <w:r w:rsidRPr="00843853">
        <w:t xml:space="preserve">Determinar y construir una pirámide </w:t>
      </w:r>
      <w:r>
        <w:t xml:space="preserve">cuya base es un polígono de </w:t>
      </w:r>
      <w:r w:rsidRPr="00D64EC7">
        <w:rPr>
          <w:i/>
          <w:iCs/>
        </w:rPr>
        <w:t>n</w:t>
      </w:r>
      <w:r>
        <w:t xml:space="preserve"> lados</w:t>
      </w:r>
    </w:p>
    <w:p w14:paraId="6DB480A0" w14:textId="0A4540F5" w:rsidR="00014F6E" w:rsidRDefault="00014F6E" w:rsidP="00014F6E">
      <w:r>
        <w:t>C</w:t>
      </w:r>
      <w:r w:rsidRPr="00843853">
        <w:t>onsidera</w:t>
      </w:r>
      <w:r>
        <w:t>mos</w:t>
      </w:r>
      <w:r w:rsidRPr="00843853">
        <w:t xml:space="preserve"> </w:t>
      </w:r>
      <w:r>
        <w:t>la</w:t>
      </w:r>
      <w:r w:rsidRPr="00843853">
        <w:t xml:space="preserve"> cuestión más general </w:t>
      </w:r>
      <w:r>
        <w:t>siguiente: ¿</w:t>
      </w:r>
      <w:r w:rsidRPr="00843853">
        <w:rPr>
          <w:i/>
          <w:iCs/>
        </w:rPr>
        <w:t xml:space="preserve">Cómo determinar y construir una pirámide cuya base es un polígono de </w:t>
      </w:r>
      <w:r w:rsidRPr="00843853">
        <w:rPr>
          <w:b/>
          <w:bCs/>
          <w:i/>
          <w:iCs/>
        </w:rPr>
        <w:t>n</w:t>
      </w:r>
      <w:r w:rsidRPr="00843853">
        <w:rPr>
          <w:i/>
          <w:iCs/>
        </w:rPr>
        <w:t xml:space="preserve"> lados</w:t>
      </w:r>
      <w:r>
        <w:t xml:space="preserve">? Para dar una respuesta a esta cuestión primero hay que determinar y construir el polígono de </w:t>
      </w:r>
      <w:r w:rsidRPr="00843853">
        <w:rPr>
          <w:b/>
          <w:bCs/>
          <w:i/>
          <w:iCs/>
        </w:rPr>
        <w:t>n</w:t>
      </w:r>
      <w:r>
        <w:t xml:space="preserve"> lados de la base tal como ya hemos indicado en el apartado de determinación y construcción de polígonos. Para ello necesitamos 2</w:t>
      </w:r>
      <w:r w:rsidRPr="00843853">
        <w:rPr>
          <w:b/>
          <w:bCs/>
          <w:i/>
          <w:iCs/>
        </w:rPr>
        <w:t>n</w:t>
      </w:r>
      <w:r>
        <w:t xml:space="preserve"> – 3 datos. Además, se requieren los tres datos necesarios para determinar y construir el vértice de la pirámide, que serán las tres coordenadas de dicho punto. Para la construcción situaremos un vértice del polígono de la base en el origen de coordenadas y un lado de la base en uno de los ejes de coordenadas e iremos colocando los demás datos. Luego, dadas las tres coordenadas del ápice o vértice de la pirámide ya tendremos determinada y construida la </w:t>
      </w:r>
      <w:r w:rsidRPr="00106C50">
        <w:t>pirámide. En definitiva, necesitamos (2</w:t>
      </w:r>
      <w:r w:rsidRPr="00106C50">
        <w:rPr>
          <w:b/>
          <w:bCs/>
          <w:i/>
          <w:iCs/>
        </w:rPr>
        <w:t>n</w:t>
      </w:r>
      <w:r w:rsidRPr="00106C50">
        <w:t xml:space="preserve"> – 3) + 3 = 2</w:t>
      </w:r>
      <w:r w:rsidRPr="00106C50">
        <w:rPr>
          <w:b/>
          <w:bCs/>
          <w:i/>
          <w:iCs/>
        </w:rPr>
        <w:t>n</w:t>
      </w:r>
      <w:r w:rsidRPr="00106C50">
        <w:t xml:space="preserve"> datos para determinar y construir una pirámide de base un polígono de </w:t>
      </w:r>
      <w:r w:rsidRPr="00106C50">
        <w:rPr>
          <w:b/>
          <w:bCs/>
          <w:i/>
          <w:iCs/>
        </w:rPr>
        <w:t>n</w:t>
      </w:r>
      <w:r w:rsidRPr="00106C50">
        <w:t xml:space="preserve"> lados</w:t>
      </w:r>
      <w:r>
        <w:t xml:space="preserve"> (</w:t>
      </w:r>
      <w:r w:rsidR="00D0579A" w:rsidRPr="00D0579A">
        <w:fldChar w:fldCharType="begin"/>
      </w:r>
      <w:r w:rsidR="00D0579A" w:rsidRPr="00D0579A">
        <w:instrText xml:space="preserve"> REF _Ref102818541 \h  \* MERGEFORMAT </w:instrText>
      </w:r>
      <w:r w:rsidR="00D0579A" w:rsidRPr="00D0579A">
        <w:fldChar w:fldCharType="separate"/>
      </w:r>
      <w:r w:rsidR="00D0579A" w:rsidRPr="00D0579A">
        <w:t xml:space="preserve">Figura </w:t>
      </w:r>
      <w:r w:rsidR="00D0579A" w:rsidRPr="00D0579A">
        <w:rPr>
          <w:noProof/>
        </w:rPr>
        <w:t>13</w:t>
      </w:r>
      <w:r w:rsidR="00D0579A" w:rsidRPr="00D0579A">
        <w:fldChar w:fldCharType="end"/>
      </w:r>
      <w:r>
        <w:t>)</w:t>
      </w:r>
      <w:r w:rsidRPr="00106C50">
        <w:t>.</w:t>
      </w:r>
    </w:p>
    <w:p w14:paraId="396B25D0" w14:textId="5DCBC10D" w:rsidR="00D0579A" w:rsidRPr="00D0579A" w:rsidRDefault="00D0579A" w:rsidP="00D0579A">
      <w:pPr>
        <w:pStyle w:val="Legenda"/>
        <w:rPr>
          <w:b/>
          <w:bCs/>
        </w:rPr>
      </w:pPr>
      <w:bookmarkStart w:id="17" w:name="_Ref102818541"/>
      <w:r w:rsidRPr="00D0579A">
        <w:rPr>
          <w:b/>
          <w:bCs/>
        </w:rPr>
        <w:t xml:space="preserve">Figura </w:t>
      </w:r>
      <w:r w:rsidRPr="00D0579A">
        <w:rPr>
          <w:b/>
          <w:bCs/>
        </w:rPr>
        <w:fldChar w:fldCharType="begin"/>
      </w:r>
      <w:r w:rsidRPr="00D0579A">
        <w:rPr>
          <w:b/>
          <w:bCs/>
        </w:rPr>
        <w:instrText xml:space="preserve"> SEQ Figura \* ARABIC </w:instrText>
      </w:r>
      <w:r w:rsidRPr="00D0579A">
        <w:rPr>
          <w:b/>
          <w:bCs/>
        </w:rPr>
        <w:fldChar w:fldCharType="separate"/>
      </w:r>
      <w:r w:rsidR="001F1E38">
        <w:rPr>
          <w:b/>
          <w:bCs/>
          <w:noProof/>
        </w:rPr>
        <w:t>13</w:t>
      </w:r>
      <w:r w:rsidRPr="00D0579A">
        <w:rPr>
          <w:b/>
          <w:bCs/>
        </w:rPr>
        <w:fldChar w:fldCharType="end"/>
      </w:r>
      <w:bookmarkEnd w:id="17"/>
      <w:r w:rsidRPr="00D0579A">
        <w:rPr>
          <w:b/>
          <w:bCs/>
        </w:rPr>
        <w:t>.</w:t>
      </w:r>
    </w:p>
    <w:p w14:paraId="473F7E17" w14:textId="7FA35E72" w:rsidR="00D0579A" w:rsidRDefault="00D0579A" w:rsidP="00D0579A">
      <w:pPr>
        <w:pStyle w:val="Legenda"/>
      </w:pPr>
      <w:r w:rsidRPr="00FA022F">
        <w:rPr>
          <w:sz w:val="20"/>
          <w:szCs w:val="20"/>
        </w:rPr>
        <w:t xml:space="preserve">Pirámide con base </w:t>
      </w:r>
      <w:r>
        <w:rPr>
          <w:sz w:val="20"/>
          <w:szCs w:val="20"/>
        </w:rPr>
        <w:t xml:space="preserve">el </w:t>
      </w:r>
      <w:r w:rsidRPr="00FA022F">
        <w:rPr>
          <w:sz w:val="20"/>
          <w:szCs w:val="20"/>
        </w:rPr>
        <w:t>pentágon</w:t>
      </w:r>
      <w:r>
        <w:rPr>
          <w:sz w:val="20"/>
          <w:szCs w:val="20"/>
        </w:rPr>
        <w:t>o</w:t>
      </w:r>
      <w:r w:rsidRPr="00FA022F">
        <w:rPr>
          <w:sz w:val="20"/>
          <w:szCs w:val="20"/>
        </w:rPr>
        <w:t xml:space="preserve"> </w:t>
      </w:r>
      <w:r w:rsidRPr="00D6172A">
        <w:rPr>
          <w:b/>
          <w:bCs/>
          <w:sz w:val="20"/>
          <w:szCs w:val="20"/>
        </w:rPr>
        <w:t>ABCDE</w:t>
      </w:r>
      <w:r w:rsidRPr="00FA022F">
        <w:rPr>
          <w:sz w:val="20"/>
          <w:szCs w:val="20"/>
        </w:rPr>
        <w:t xml:space="preserve">, determinada </w:t>
      </w:r>
      <w:r>
        <w:rPr>
          <w:sz w:val="20"/>
          <w:szCs w:val="20"/>
        </w:rPr>
        <w:t xml:space="preserve">y construido </w:t>
      </w:r>
      <w:r w:rsidRPr="00FA022F">
        <w:rPr>
          <w:sz w:val="20"/>
          <w:szCs w:val="20"/>
        </w:rPr>
        <w:t xml:space="preserve">por el triángulo </w:t>
      </w:r>
      <w:r w:rsidRPr="00D6172A">
        <w:rPr>
          <w:b/>
          <w:bCs/>
          <w:sz w:val="20"/>
          <w:szCs w:val="20"/>
        </w:rPr>
        <w:t>ABC</w:t>
      </w:r>
      <w:r w:rsidRPr="00FA022F">
        <w:rPr>
          <w:sz w:val="20"/>
          <w:szCs w:val="20"/>
        </w:rPr>
        <w:t xml:space="preserve">, </w:t>
      </w:r>
      <w:r>
        <w:rPr>
          <w:sz w:val="20"/>
          <w:szCs w:val="20"/>
        </w:rPr>
        <w:t>de</w:t>
      </w:r>
      <w:r w:rsidRPr="00FA022F">
        <w:rPr>
          <w:sz w:val="20"/>
          <w:szCs w:val="20"/>
        </w:rPr>
        <w:t xml:space="preserve"> lados </w:t>
      </w:r>
      <w:r w:rsidRPr="00D6172A">
        <w:rPr>
          <w:b/>
          <w:bCs/>
          <w:sz w:val="20"/>
          <w:szCs w:val="20"/>
        </w:rPr>
        <w:t>AB</w:t>
      </w:r>
      <w:r w:rsidRPr="00FA022F">
        <w:rPr>
          <w:sz w:val="20"/>
          <w:szCs w:val="20"/>
        </w:rPr>
        <w:t xml:space="preserve">, </w:t>
      </w:r>
      <w:r w:rsidRPr="00D6172A">
        <w:rPr>
          <w:b/>
          <w:bCs/>
          <w:sz w:val="20"/>
          <w:szCs w:val="20"/>
        </w:rPr>
        <w:t>BC</w:t>
      </w:r>
      <w:r w:rsidRPr="00FA022F">
        <w:rPr>
          <w:sz w:val="20"/>
          <w:szCs w:val="20"/>
        </w:rPr>
        <w:t xml:space="preserve"> y </w:t>
      </w:r>
      <w:r w:rsidRPr="00D6172A">
        <w:rPr>
          <w:b/>
          <w:bCs/>
          <w:sz w:val="20"/>
          <w:szCs w:val="20"/>
        </w:rPr>
        <w:t>CA</w:t>
      </w:r>
      <w:r w:rsidRPr="00FA022F">
        <w:rPr>
          <w:sz w:val="20"/>
          <w:szCs w:val="20"/>
        </w:rPr>
        <w:t xml:space="preserve">, con los lados </w:t>
      </w:r>
      <w:r w:rsidRPr="00D6172A">
        <w:rPr>
          <w:b/>
          <w:bCs/>
          <w:sz w:val="20"/>
          <w:szCs w:val="20"/>
        </w:rPr>
        <w:t>CA</w:t>
      </w:r>
      <w:r w:rsidRPr="00FA022F">
        <w:rPr>
          <w:sz w:val="20"/>
          <w:szCs w:val="20"/>
        </w:rPr>
        <w:t xml:space="preserve"> y </w:t>
      </w:r>
      <w:r w:rsidRPr="00D6172A">
        <w:rPr>
          <w:b/>
          <w:bCs/>
          <w:sz w:val="20"/>
          <w:szCs w:val="20"/>
        </w:rPr>
        <w:t>DA</w:t>
      </w:r>
      <w:r w:rsidRPr="00FA022F">
        <w:rPr>
          <w:sz w:val="20"/>
          <w:szCs w:val="20"/>
        </w:rPr>
        <w:t xml:space="preserve"> y el ángulo que forman </w:t>
      </w:r>
      <w:r w:rsidRPr="00FA022F">
        <w:rPr>
          <w:rFonts w:cs="Times New Roman"/>
          <w:sz w:val="20"/>
          <w:szCs w:val="20"/>
        </w:rPr>
        <w:t>α</w:t>
      </w:r>
      <w:r w:rsidRPr="00FA022F">
        <w:rPr>
          <w:sz w:val="20"/>
          <w:szCs w:val="20"/>
        </w:rPr>
        <w:t xml:space="preserve">, y con los lados </w:t>
      </w:r>
      <w:r w:rsidRPr="00D6172A">
        <w:rPr>
          <w:b/>
          <w:bCs/>
          <w:sz w:val="20"/>
          <w:szCs w:val="20"/>
        </w:rPr>
        <w:t>DA</w:t>
      </w:r>
      <w:r w:rsidRPr="00FA022F">
        <w:rPr>
          <w:sz w:val="20"/>
          <w:szCs w:val="20"/>
        </w:rPr>
        <w:t xml:space="preserve"> y </w:t>
      </w:r>
      <w:r w:rsidRPr="00D6172A">
        <w:rPr>
          <w:b/>
          <w:bCs/>
          <w:sz w:val="20"/>
          <w:szCs w:val="20"/>
        </w:rPr>
        <w:t>EA</w:t>
      </w:r>
      <w:r w:rsidRPr="00FA022F">
        <w:rPr>
          <w:sz w:val="20"/>
          <w:szCs w:val="20"/>
        </w:rPr>
        <w:t xml:space="preserve"> y el ángulo que forman </w:t>
      </w:r>
      <w:r w:rsidRPr="00D6172A">
        <w:rPr>
          <w:rFonts w:cs="Times New Roman"/>
          <w:b/>
          <w:bCs/>
          <w:sz w:val="20"/>
          <w:szCs w:val="20"/>
        </w:rPr>
        <w:t>β</w:t>
      </w:r>
      <w:r w:rsidRPr="00FA022F">
        <w:rPr>
          <w:sz w:val="20"/>
          <w:szCs w:val="20"/>
        </w:rPr>
        <w:t xml:space="preserve">; y el punto </w:t>
      </w:r>
      <w:r w:rsidRPr="00D6172A">
        <w:rPr>
          <w:b/>
          <w:bCs/>
          <w:sz w:val="20"/>
          <w:szCs w:val="20"/>
        </w:rPr>
        <w:t>F</w:t>
      </w:r>
      <w:r w:rsidRPr="00FA022F">
        <w:rPr>
          <w:sz w:val="20"/>
          <w:szCs w:val="20"/>
        </w:rPr>
        <w:t xml:space="preserve">, que </w:t>
      </w:r>
      <w:r>
        <w:rPr>
          <w:sz w:val="20"/>
          <w:szCs w:val="20"/>
        </w:rPr>
        <w:t>es</w:t>
      </w:r>
      <w:r w:rsidRPr="00FA022F">
        <w:rPr>
          <w:sz w:val="20"/>
          <w:szCs w:val="20"/>
        </w:rPr>
        <w:t xml:space="preserve"> el ápice de la pirámide, </w:t>
      </w:r>
      <w:r>
        <w:rPr>
          <w:sz w:val="20"/>
          <w:szCs w:val="20"/>
        </w:rPr>
        <w:t>de</w:t>
      </w:r>
      <w:r w:rsidRPr="00FA022F">
        <w:rPr>
          <w:sz w:val="20"/>
          <w:szCs w:val="20"/>
        </w:rPr>
        <w:t xml:space="preserve"> coordenada</w:t>
      </w:r>
      <w:r>
        <w:rPr>
          <w:sz w:val="20"/>
          <w:szCs w:val="20"/>
        </w:rPr>
        <w:t>s (3,4,5)</w:t>
      </w:r>
    </w:p>
    <w:p w14:paraId="40B76E1E" w14:textId="77777777" w:rsidR="00014F6E" w:rsidRDefault="00014F6E" w:rsidP="007D3794">
      <w:pPr>
        <w:jc w:val="center"/>
      </w:pPr>
      <w:r>
        <w:rPr>
          <w:noProof/>
          <w:lang w:val="pt-BR" w:eastAsia="pt-BR" w:bidi="ar-SA"/>
        </w:rPr>
        <w:lastRenderedPageBreak/>
        <w:drawing>
          <wp:inline distT="0" distB="0" distL="0" distR="0" wp14:anchorId="4F3217D1" wp14:editId="10BD1ABF">
            <wp:extent cx="3600000" cy="2685702"/>
            <wp:effectExtent l="0" t="0" r="0" b="0"/>
            <wp:docPr id="36" name="Imagen 3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radial&#10;&#10;Descripción generada automáticamente"/>
                    <pic:cNvPicPr/>
                  </pic:nvPicPr>
                  <pic:blipFill rotWithShape="1">
                    <a:blip r:embed="rId20"/>
                    <a:srcRect t="2167" b="4123"/>
                    <a:stretch/>
                  </pic:blipFill>
                  <pic:spPr bwMode="auto">
                    <a:xfrm>
                      <a:off x="0" y="0"/>
                      <a:ext cx="3600000" cy="2685702"/>
                    </a:xfrm>
                    <a:prstGeom prst="rect">
                      <a:avLst/>
                    </a:prstGeom>
                    <a:ln>
                      <a:noFill/>
                    </a:ln>
                    <a:extLst>
                      <a:ext uri="{53640926-AAD7-44D8-BBD7-CCE9431645EC}">
                        <a14:shadowObscured xmlns:a14="http://schemas.microsoft.com/office/drawing/2010/main"/>
                      </a:ext>
                    </a:extLst>
                  </pic:spPr>
                </pic:pic>
              </a:graphicData>
            </a:graphic>
          </wp:inline>
        </w:drawing>
      </w:r>
    </w:p>
    <w:p w14:paraId="7364B1A3" w14:textId="77777777" w:rsidR="007D3794" w:rsidRDefault="007D3794" w:rsidP="007D3794">
      <w:pPr>
        <w:pStyle w:val="Ttulo2"/>
      </w:pPr>
      <w:r w:rsidRPr="00214AAF">
        <w:t xml:space="preserve">Determinar y construir un </w:t>
      </w:r>
      <w:r>
        <w:t>cono</w:t>
      </w:r>
    </w:p>
    <w:p w14:paraId="78FFB70B" w14:textId="5AE6F3AE" w:rsidR="007D3794" w:rsidRDefault="007D3794" w:rsidP="007D3794">
      <w:r>
        <w:t>La cuestión general es: ¿</w:t>
      </w:r>
      <w:r w:rsidRPr="0067391D">
        <w:rPr>
          <w:i/>
          <w:iCs/>
        </w:rPr>
        <w:t>Cómo determinar y construir un cono cualquiera</w:t>
      </w:r>
      <w:r>
        <w:t xml:space="preserve">? Necesitamos un dato para determinar la base del cono, por ejemplo, el radio </w:t>
      </w:r>
      <w:r w:rsidRPr="0067391D">
        <w:rPr>
          <w:b/>
          <w:bCs/>
          <w:i/>
          <w:iCs/>
        </w:rPr>
        <w:t xml:space="preserve">r </w:t>
      </w:r>
      <w:r>
        <w:t>y luego las tres coordenadas del vértice del cono que debe situarse en un plano paralelo al de la base que estará a una distancia igual a la altura del cono. En total necesitamos 4 datos</w:t>
      </w:r>
      <w:r w:rsidR="00D92DE4">
        <w:t xml:space="preserve"> (</w:t>
      </w:r>
      <w:r w:rsidR="0073333B" w:rsidRPr="0073333B">
        <w:fldChar w:fldCharType="begin"/>
      </w:r>
      <w:r w:rsidR="0073333B" w:rsidRPr="0073333B">
        <w:instrText xml:space="preserve"> REF _Ref102818657 \h  \* MERGEFORMAT </w:instrText>
      </w:r>
      <w:r w:rsidR="0073333B" w:rsidRPr="0073333B">
        <w:fldChar w:fldCharType="separate"/>
      </w:r>
      <w:r w:rsidR="0073333B" w:rsidRPr="0073333B">
        <w:t xml:space="preserve">Figura </w:t>
      </w:r>
      <w:r w:rsidR="0073333B" w:rsidRPr="0073333B">
        <w:rPr>
          <w:noProof/>
        </w:rPr>
        <w:t>14</w:t>
      </w:r>
      <w:r w:rsidR="0073333B" w:rsidRPr="0073333B">
        <w:fldChar w:fldCharType="end"/>
      </w:r>
      <w:r w:rsidR="00D92DE4">
        <w:t>)</w:t>
      </w:r>
      <w:r>
        <w:t xml:space="preserve">. </w:t>
      </w:r>
    </w:p>
    <w:p w14:paraId="020EC4CD" w14:textId="7C6A72E5" w:rsidR="005062BD" w:rsidRDefault="0088441A" w:rsidP="005062BD">
      <w:pPr>
        <w:pStyle w:val="Legenda"/>
        <w:rPr>
          <w:b/>
          <w:bCs/>
        </w:rPr>
      </w:pPr>
      <w:bookmarkStart w:id="18" w:name="_Ref102818657"/>
      <w:r w:rsidRPr="0088441A">
        <w:rPr>
          <w:b/>
          <w:bCs/>
        </w:rPr>
        <w:t xml:space="preserve">Figura </w:t>
      </w:r>
      <w:r w:rsidRPr="0088441A">
        <w:rPr>
          <w:b/>
          <w:bCs/>
        </w:rPr>
        <w:fldChar w:fldCharType="begin"/>
      </w:r>
      <w:r w:rsidRPr="0088441A">
        <w:rPr>
          <w:b/>
          <w:bCs/>
        </w:rPr>
        <w:instrText xml:space="preserve"> SEQ Figura \* ARABIC </w:instrText>
      </w:r>
      <w:r w:rsidRPr="0088441A">
        <w:rPr>
          <w:b/>
          <w:bCs/>
        </w:rPr>
        <w:fldChar w:fldCharType="separate"/>
      </w:r>
      <w:r w:rsidR="001F1E38">
        <w:rPr>
          <w:b/>
          <w:bCs/>
          <w:noProof/>
        </w:rPr>
        <w:t>14</w:t>
      </w:r>
      <w:r w:rsidRPr="0088441A">
        <w:rPr>
          <w:b/>
          <w:bCs/>
        </w:rPr>
        <w:fldChar w:fldCharType="end"/>
      </w:r>
      <w:bookmarkEnd w:id="18"/>
      <w:r w:rsidRPr="0088441A">
        <w:rPr>
          <w:b/>
          <w:bCs/>
        </w:rPr>
        <w:t>.</w:t>
      </w:r>
    </w:p>
    <w:p w14:paraId="570A388C" w14:textId="5B19A654" w:rsidR="0088441A" w:rsidRPr="005062BD" w:rsidRDefault="005062BD" w:rsidP="005062BD">
      <w:pPr>
        <w:pStyle w:val="Legenda"/>
        <w:rPr>
          <w:b/>
          <w:bCs/>
        </w:rPr>
      </w:pPr>
      <w:r>
        <w:rPr>
          <w:i w:val="0"/>
          <w:iCs w:val="0"/>
          <w:sz w:val="20"/>
          <w:szCs w:val="20"/>
        </w:rPr>
        <w:t>Cono</w:t>
      </w:r>
      <w:r w:rsidRPr="00E26810">
        <w:rPr>
          <w:i w:val="0"/>
          <w:iCs w:val="0"/>
          <w:sz w:val="20"/>
          <w:szCs w:val="20"/>
        </w:rPr>
        <w:t xml:space="preserve"> de base </w:t>
      </w:r>
      <w:r>
        <w:rPr>
          <w:i w:val="0"/>
          <w:iCs w:val="0"/>
          <w:sz w:val="20"/>
          <w:szCs w:val="20"/>
        </w:rPr>
        <w:t>circular</w:t>
      </w:r>
      <w:r w:rsidRPr="00E26810">
        <w:rPr>
          <w:i w:val="0"/>
          <w:iCs w:val="0"/>
          <w:sz w:val="20"/>
          <w:szCs w:val="20"/>
        </w:rPr>
        <w:t xml:space="preserve"> de</w:t>
      </w:r>
      <w:r>
        <w:rPr>
          <w:i w:val="0"/>
          <w:iCs w:val="0"/>
          <w:sz w:val="20"/>
          <w:szCs w:val="20"/>
        </w:rPr>
        <w:t xml:space="preserve"> radio </w:t>
      </w:r>
      <w:r w:rsidRPr="000A0D6E">
        <w:rPr>
          <w:b/>
          <w:bCs/>
          <w:sz w:val="20"/>
          <w:szCs w:val="20"/>
        </w:rPr>
        <w:t>AB</w:t>
      </w:r>
      <w:r>
        <w:rPr>
          <w:i w:val="0"/>
          <w:iCs w:val="0"/>
          <w:sz w:val="20"/>
          <w:szCs w:val="20"/>
        </w:rPr>
        <w:t xml:space="preserve"> = 3,72 unidades y de vértice </w:t>
      </w:r>
      <w:r w:rsidRPr="000A0D6E">
        <w:rPr>
          <w:b/>
          <w:bCs/>
          <w:sz w:val="20"/>
          <w:szCs w:val="20"/>
        </w:rPr>
        <w:t>C</w:t>
      </w:r>
      <w:r w:rsidRPr="00E26810">
        <w:rPr>
          <w:i w:val="0"/>
          <w:iCs w:val="0"/>
          <w:sz w:val="20"/>
          <w:szCs w:val="20"/>
        </w:rPr>
        <w:t xml:space="preserve">, </w:t>
      </w:r>
      <w:r>
        <w:rPr>
          <w:i w:val="0"/>
          <w:iCs w:val="0"/>
          <w:sz w:val="20"/>
          <w:szCs w:val="20"/>
        </w:rPr>
        <w:t xml:space="preserve">de </w:t>
      </w:r>
      <w:r w:rsidRPr="00E26810">
        <w:rPr>
          <w:i w:val="0"/>
          <w:iCs w:val="0"/>
          <w:sz w:val="20"/>
          <w:szCs w:val="20"/>
        </w:rPr>
        <w:t>coordenada</w:t>
      </w:r>
      <w:r>
        <w:rPr>
          <w:i w:val="0"/>
          <w:iCs w:val="0"/>
          <w:sz w:val="20"/>
          <w:szCs w:val="20"/>
        </w:rPr>
        <w:t xml:space="preserve">s </w:t>
      </w:r>
      <w:r w:rsidRPr="00E26810">
        <w:rPr>
          <w:i w:val="0"/>
          <w:iCs w:val="0"/>
          <w:sz w:val="20"/>
          <w:szCs w:val="20"/>
        </w:rPr>
        <w:t>(</w:t>
      </w:r>
      <w:r>
        <w:rPr>
          <w:i w:val="0"/>
          <w:iCs w:val="0"/>
          <w:sz w:val="20"/>
          <w:szCs w:val="20"/>
        </w:rPr>
        <w:t>1,6,</w:t>
      </w:r>
      <w:r w:rsidRPr="00E26810">
        <w:rPr>
          <w:i w:val="0"/>
          <w:iCs w:val="0"/>
          <w:sz w:val="20"/>
          <w:szCs w:val="20"/>
        </w:rPr>
        <w:t>5)</w:t>
      </w:r>
    </w:p>
    <w:p w14:paraId="051E1284" w14:textId="77777777" w:rsidR="007D3794" w:rsidRPr="00C57E51" w:rsidRDefault="007D3794" w:rsidP="0088441A">
      <w:pPr>
        <w:jc w:val="center"/>
        <w:rPr>
          <w:b/>
          <w:bCs/>
        </w:rPr>
      </w:pPr>
      <w:r>
        <w:rPr>
          <w:noProof/>
          <w:lang w:val="pt-BR" w:eastAsia="pt-BR" w:bidi="ar-SA"/>
        </w:rPr>
        <w:lastRenderedPageBreak/>
        <w:drawing>
          <wp:inline distT="0" distB="0" distL="0" distR="0" wp14:anchorId="6F261237" wp14:editId="7B084D71">
            <wp:extent cx="3600000" cy="2320672"/>
            <wp:effectExtent l="0" t="0" r="0" b="0"/>
            <wp:docPr id="11" name="Imagen 11"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superficie&#10;&#10;Descripción generada automáticamente"/>
                    <pic:cNvPicPr/>
                  </pic:nvPicPr>
                  <pic:blipFill rotWithShape="1">
                    <a:blip r:embed="rId21"/>
                    <a:srcRect t="3510" b="4680"/>
                    <a:stretch/>
                  </pic:blipFill>
                  <pic:spPr bwMode="auto">
                    <a:xfrm>
                      <a:off x="0" y="0"/>
                      <a:ext cx="3600000" cy="2320672"/>
                    </a:xfrm>
                    <a:prstGeom prst="rect">
                      <a:avLst/>
                    </a:prstGeom>
                    <a:ln>
                      <a:noFill/>
                    </a:ln>
                    <a:extLst>
                      <a:ext uri="{53640926-AAD7-44D8-BBD7-CCE9431645EC}">
                        <a14:shadowObscured xmlns:a14="http://schemas.microsoft.com/office/drawing/2010/main"/>
                      </a:ext>
                    </a:extLst>
                  </pic:spPr>
                </pic:pic>
              </a:graphicData>
            </a:graphic>
          </wp:inline>
        </w:drawing>
      </w:r>
    </w:p>
    <w:p w14:paraId="0128994A" w14:textId="77777777" w:rsidR="006F6E3D" w:rsidRPr="0067391D" w:rsidRDefault="006F6E3D" w:rsidP="006F6E3D">
      <w:pPr>
        <w:pStyle w:val="Ttulo2"/>
      </w:pPr>
      <w:r w:rsidRPr="0067391D">
        <w:t xml:space="preserve">Determinar y construir un prisma </w:t>
      </w:r>
      <w:r>
        <w:t xml:space="preserve">cuyas bases son polígonos de </w:t>
      </w:r>
      <w:r w:rsidRPr="00D64EC7">
        <w:rPr>
          <w:i/>
          <w:iCs/>
        </w:rPr>
        <w:t>n</w:t>
      </w:r>
      <w:r w:rsidRPr="0067391D">
        <w:t xml:space="preserve"> lados</w:t>
      </w:r>
    </w:p>
    <w:p w14:paraId="0D8D58EB" w14:textId="56C86AAD" w:rsidR="006F6E3D" w:rsidRDefault="006F6E3D" w:rsidP="006F6E3D">
      <w:r>
        <w:t>También podemos considera la cuestión general: ¿</w:t>
      </w:r>
      <w:r w:rsidRPr="0067391D">
        <w:rPr>
          <w:i/>
          <w:iCs/>
        </w:rPr>
        <w:t>Cómo determinar y construir un pri</w:t>
      </w:r>
      <w:r>
        <w:rPr>
          <w:i/>
          <w:iCs/>
        </w:rPr>
        <w:t>s</w:t>
      </w:r>
      <w:r w:rsidRPr="0067391D">
        <w:rPr>
          <w:i/>
          <w:iCs/>
        </w:rPr>
        <w:t>ma de base</w:t>
      </w:r>
      <w:r>
        <w:rPr>
          <w:i/>
          <w:iCs/>
        </w:rPr>
        <w:t xml:space="preserve"> un polígono de</w:t>
      </w:r>
      <w:r w:rsidRPr="0067391D">
        <w:rPr>
          <w:i/>
          <w:iCs/>
        </w:rPr>
        <w:t xml:space="preserve"> </w:t>
      </w:r>
      <w:r w:rsidRPr="0067391D">
        <w:rPr>
          <w:b/>
          <w:bCs/>
          <w:i/>
          <w:iCs/>
        </w:rPr>
        <w:t>n</w:t>
      </w:r>
      <w:r w:rsidRPr="0067391D">
        <w:rPr>
          <w:i/>
          <w:iCs/>
        </w:rPr>
        <w:t xml:space="preserve"> lados</w:t>
      </w:r>
      <w:r>
        <w:t xml:space="preserve">? Para dar una respuesta, primero construimos el polígono de </w:t>
      </w:r>
      <w:r w:rsidRPr="0067391D">
        <w:rPr>
          <w:b/>
          <w:bCs/>
          <w:i/>
          <w:iCs/>
        </w:rPr>
        <w:t>n</w:t>
      </w:r>
      <w:r>
        <w:t xml:space="preserve"> lados de una de las bases, para lo que necesitamos 2</w:t>
      </w:r>
      <w:r w:rsidRPr="0067391D">
        <w:rPr>
          <w:b/>
          <w:bCs/>
          <w:i/>
          <w:iCs/>
        </w:rPr>
        <w:t>n</w:t>
      </w:r>
      <w:r>
        <w:t xml:space="preserve"> – 3 datos. Para la construcción de la base utilizaremos el mismo procedimiento que ya hemos indicado para el caso de la pirámide. Luego se necesitan las tres coordenadas de uno de los vértices de la otra base. Dicho vértice estará situado en un plano paralelo a la base construida a una distancia igual a la altura del prisma. </w:t>
      </w:r>
      <w:r w:rsidRPr="00F220C0">
        <w:t xml:space="preserve">A continuación, ya se podrá construir la otra base trazando los diferentes lados en dicho plano paralelo partiendo del vértice construido y sabiendo que dichos lados deben tener la misma longitud y ser respectivamente paralelos a sus correspondientes en la primera base. En definitiva, el número de datos que se requieren para construir un prisma de base </w:t>
      </w:r>
      <w:r w:rsidRPr="00F220C0">
        <w:rPr>
          <w:b/>
          <w:bCs/>
          <w:i/>
          <w:iCs/>
        </w:rPr>
        <w:t>n</w:t>
      </w:r>
      <w:r w:rsidRPr="00F220C0">
        <w:t xml:space="preserve"> lados será, de nuevo: (2</w:t>
      </w:r>
      <w:r w:rsidRPr="00F220C0">
        <w:rPr>
          <w:b/>
          <w:bCs/>
          <w:i/>
          <w:iCs/>
        </w:rPr>
        <w:t>n</w:t>
      </w:r>
      <w:r w:rsidRPr="00F220C0">
        <w:t xml:space="preserve"> – 3) + 3 = 2</w:t>
      </w:r>
      <w:r w:rsidRPr="00F220C0">
        <w:rPr>
          <w:b/>
          <w:bCs/>
          <w:i/>
          <w:iCs/>
        </w:rPr>
        <w:t>n</w:t>
      </w:r>
      <w:r>
        <w:t xml:space="preserve"> (</w:t>
      </w:r>
      <w:r w:rsidR="00E7624C">
        <w:fldChar w:fldCharType="begin"/>
      </w:r>
      <w:r w:rsidR="00E7624C">
        <w:instrText xml:space="preserve"> REF _Ref102818747 \h </w:instrText>
      </w:r>
      <w:r w:rsidR="00E7624C">
        <w:fldChar w:fldCharType="separate"/>
      </w:r>
      <w:r w:rsidR="00E7624C">
        <w:t xml:space="preserve">Figura </w:t>
      </w:r>
      <w:r w:rsidR="00E7624C">
        <w:rPr>
          <w:noProof/>
        </w:rPr>
        <w:t>15</w:t>
      </w:r>
      <w:r w:rsidR="00E7624C">
        <w:fldChar w:fldCharType="end"/>
      </w:r>
      <w:r>
        <w:t>).</w:t>
      </w:r>
      <w:r w:rsidRPr="00F220C0">
        <w:t xml:space="preserve"> </w:t>
      </w:r>
    </w:p>
    <w:p w14:paraId="42D4F0F4" w14:textId="79EFBB41" w:rsidR="006F6E3D" w:rsidRPr="0004786B" w:rsidRDefault="006F6E3D" w:rsidP="006F6E3D">
      <w:pPr>
        <w:pStyle w:val="Legenda"/>
        <w:rPr>
          <w:b/>
          <w:bCs/>
        </w:rPr>
      </w:pPr>
      <w:bookmarkStart w:id="19" w:name="_Ref102818747"/>
      <w:r w:rsidRPr="0004786B">
        <w:rPr>
          <w:b/>
          <w:bCs/>
        </w:rPr>
        <w:t xml:space="preserve">Figura </w:t>
      </w:r>
      <w:r w:rsidRPr="0004786B">
        <w:rPr>
          <w:b/>
          <w:bCs/>
        </w:rPr>
        <w:fldChar w:fldCharType="begin"/>
      </w:r>
      <w:r w:rsidRPr="0004786B">
        <w:rPr>
          <w:b/>
          <w:bCs/>
        </w:rPr>
        <w:instrText xml:space="preserve"> SEQ Figura \* ARABIC </w:instrText>
      </w:r>
      <w:r w:rsidRPr="0004786B">
        <w:rPr>
          <w:b/>
          <w:bCs/>
        </w:rPr>
        <w:fldChar w:fldCharType="separate"/>
      </w:r>
      <w:r w:rsidR="001F1E38" w:rsidRPr="0004786B">
        <w:rPr>
          <w:b/>
          <w:bCs/>
          <w:noProof/>
        </w:rPr>
        <w:t>15</w:t>
      </w:r>
      <w:r w:rsidRPr="0004786B">
        <w:rPr>
          <w:b/>
          <w:bCs/>
        </w:rPr>
        <w:fldChar w:fldCharType="end"/>
      </w:r>
      <w:bookmarkEnd w:id="19"/>
      <w:r w:rsidRPr="0004786B">
        <w:rPr>
          <w:b/>
          <w:bCs/>
        </w:rPr>
        <w:t>.</w:t>
      </w:r>
    </w:p>
    <w:p w14:paraId="06F897FB" w14:textId="3B5B90F6" w:rsidR="006F6E3D" w:rsidRDefault="006F6E3D" w:rsidP="006F6E3D">
      <w:pPr>
        <w:pStyle w:val="Legenda"/>
      </w:pPr>
      <w:r>
        <w:rPr>
          <w:i w:val="0"/>
          <w:iCs w:val="0"/>
          <w:sz w:val="20"/>
          <w:szCs w:val="20"/>
        </w:rPr>
        <w:t>Prisma cuya base es el triángulo</w:t>
      </w:r>
      <w:r w:rsidRPr="005D247A">
        <w:rPr>
          <w:i w:val="0"/>
          <w:iCs w:val="0"/>
          <w:sz w:val="20"/>
          <w:szCs w:val="20"/>
        </w:rPr>
        <w:t xml:space="preserve"> </w:t>
      </w:r>
      <w:r w:rsidRPr="007E2F5B">
        <w:rPr>
          <w:b/>
          <w:bCs/>
          <w:sz w:val="20"/>
          <w:szCs w:val="20"/>
        </w:rPr>
        <w:t>ABC</w:t>
      </w:r>
      <w:r w:rsidRPr="005D247A">
        <w:rPr>
          <w:i w:val="0"/>
          <w:iCs w:val="0"/>
          <w:sz w:val="20"/>
          <w:szCs w:val="20"/>
        </w:rPr>
        <w:t>, determinad</w:t>
      </w:r>
      <w:r>
        <w:rPr>
          <w:i w:val="0"/>
          <w:iCs w:val="0"/>
          <w:sz w:val="20"/>
          <w:szCs w:val="20"/>
        </w:rPr>
        <w:t>o</w:t>
      </w:r>
      <w:r w:rsidRPr="005D247A">
        <w:rPr>
          <w:i w:val="0"/>
          <w:iCs w:val="0"/>
          <w:sz w:val="20"/>
          <w:szCs w:val="20"/>
        </w:rPr>
        <w:t xml:space="preserve"> por los lados </w:t>
      </w:r>
      <w:r w:rsidRPr="007E2F5B">
        <w:rPr>
          <w:b/>
          <w:bCs/>
          <w:sz w:val="20"/>
          <w:szCs w:val="20"/>
        </w:rPr>
        <w:t>AB</w:t>
      </w:r>
      <w:r w:rsidRPr="005D247A">
        <w:rPr>
          <w:i w:val="0"/>
          <w:iCs w:val="0"/>
          <w:sz w:val="20"/>
          <w:szCs w:val="20"/>
        </w:rPr>
        <w:t xml:space="preserve">, </w:t>
      </w:r>
      <w:r w:rsidRPr="007E2F5B">
        <w:rPr>
          <w:b/>
          <w:bCs/>
          <w:sz w:val="20"/>
          <w:szCs w:val="20"/>
        </w:rPr>
        <w:t>BC</w:t>
      </w:r>
      <w:r w:rsidRPr="005D247A">
        <w:rPr>
          <w:i w:val="0"/>
          <w:iCs w:val="0"/>
          <w:sz w:val="20"/>
          <w:szCs w:val="20"/>
        </w:rPr>
        <w:t xml:space="preserve"> y </w:t>
      </w:r>
      <w:r w:rsidRPr="007E2F5B">
        <w:rPr>
          <w:b/>
          <w:bCs/>
          <w:sz w:val="20"/>
          <w:szCs w:val="20"/>
        </w:rPr>
        <w:t>CA</w:t>
      </w:r>
      <w:r>
        <w:rPr>
          <w:i w:val="0"/>
          <w:iCs w:val="0"/>
          <w:sz w:val="20"/>
          <w:szCs w:val="20"/>
        </w:rPr>
        <w:t>; y luego</w:t>
      </w:r>
      <w:r w:rsidRPr="005D247A">
        <w:rPr>
          <w:i w:val="0"/>
          <w:iCs w:val="0"/>
          <w:sz w:val="20"/>
          <w:szCs w:val="20"/>
        </w:rPr>
        <w:t xml:space="preserve">, </w:t>
      </w:r>
      <w:r>
        <w:rPr>
          <w:i w:val="0"/>
          <w:iCs w:val="0"/>
          <w:sz w:val="20"/>
          <w:szCs w:val="20"/>
        </w:rPr>
        <w:t>por el punto</w:t>
      </w:r>
      <w:r w:rsidRPr="005D247A">
        <w:rPr>
          <w:i w:val="0"/>
          <w:iCs w:val="0"/>
          <w:sz w:val="20"/>
          <w:szCs w:val="20"/>
        </w:rPr>
        <w:t xml:space="preserve"> </w:t>
      </w:r>
      <w:r>
        <w:rPr>
          <w:i w:val="0"/>
          <w:iCs w:val="0"/>
          <w:sz w:val="20"/>
          <w:szCs w:val="20"/>
        </w:rPr>
        <w:t>E de la otra base,</w:t>
      </w:r>
      <w:r w:rsidRPr="005D247A">
        <w:rPr>
          <w:i w:val="0"/>
          <w:iCs w:val="0"/>
          <w:sz w:val="20"/>
          <w:szCs w:val="20"/>
        </w:rPr>
        <w:t xml:space="preserve"> </w:t>
      </w:r>
      <w:r>
        <w:rPr>
          <w:i w:val="0"/>
          <w:iCs w:val="0"/>
          <w:sz w:val="20"/>
          <w:szCs w:val="20"/>
        </w:rPr>
        <w:t>cuyas coordenadas son</w:t>
      </w:r>
      <w:r w:rsidRPr="005D247A">
        <w:rPr>
          <w:i w:val="0"/>
          <w:iCs w:val="0"/>
          <w:sz w:val="20"/>
          <w:szCs w:val="20"/>
        </w:rPr>
        <w:t xml:space="preserve"> (3,4,5)</w:t>
      </w:r>
      <w:r>
        <w:rPr>
          <w:i w:val="0"/>
          <w:iCs w:val="0"/>
          <w:sz w:val="20"/>
          <w:szCs w:val="20"/>
        </w:rPr>
        <w:t xml:space="preserve">. Siendo </w:t>
      </w:r>
      <w:r w:rsidRPr="007E2F5B">
        <w:rPr>
          <w:b/>
          <w:bCs/>
          <w:sz w:val="20"/>
          <w:szCs w:val="20"/>
        </w:rPr>
        <w:t>AB</w:t>
      </w:r>
      <w:r>
        <w:rPr>
          <w:rFonts w:cs="Times New Roman"/>
          <w:i w:val="0"/>
          <w:iCs w:val="0"/>
          <w:sz w:val="20"/>
          <w:szCs w:val="20"/>
        </w:rPr>
        <w:t>║</w:t>
      </w:r>
      <w:r w:rsidRPr="007E2F5B">
        <w:rPr>
          <w:b/>
          <w:bCs/>
          <w:sz w:val="20"/>
          <w:szCs w:val="20"/>
        </w:rPr>
        <w:t>EG</w:t>
      </w:r>
      <w:r>
        <w:rPr>
          <w:i w:val="0"/>
          <w:iCs w:val="0"/>
          <w:sz w:val="20"/>
          <w:szCs w:val="20"/>
        </w:rPr>
        <w:t xml:space="preserve">, </w:t>
      </w:r>
      <w:r w:rsidRPr="007E2F5B">
        <w:rPr>
          <w:b/>
          <w:bCs/>
          <w:sz w:val="20"/>
          <w:szCs w:val="20"/>
        </w:rPr>
        <w:t>BC</w:t>
      </w:r>
      <w:r>
        <w:rPr>
          <w:rFonts w:cs="Times New Roman"/>
          <w:i w:val="0"/>
          <w:iCs w:val="0"/>
          <w:sz w:val="20"/>
          <w:szCs w:val="20"/>
        </w:rPr>
        <w:t>║</w:t>
      </w:r>
      <w:r w:rsidRPr="007E2F5B">
        <w:rPr>
          <w:b/>
          <w:bCs/>
          <w:sz w:val="20"/>
          <w:szCs w:val="20"/>
        </w:rPr>
        <w:t>GF</w:t>
      </w:r>
      <w:r>
        <w:rPr>
          <w:i w:val="0"/>
          <w:iCs w:val="0"/>
          <w:sz w:val="20"/>
          <w:szCs w:val="20"/>
        </w:rPr>
        <w:t xml:space="preserve">, </w:t>
      </w:r>
      <w:r w:rsidRPr="007E2F5B">
        <w:rPr>
          <w:b/>
          <w:bCs/>
          <w:sz w:val="20"/>
          <w:szCs w:val="20"/>
        </w:rPr>
        <w:t>CA</w:t>
      </w:r>
      <w:r>
        <w:rPr>
          <w:rFonts w:cs="Times New Roman"/>
          <w:i w:val="0"/>
          <w:iCs w:val="0"/>
          <w:sz w:val="20"/>
          <w:szCs w:val="20"/>
        </w:rPr>
        <w:t>║</w:t>
      </w:r>
      <w:r w:rsidRPr="007E2F5B">
        <w:rPr>
          <w:b/>
          <w:bCs/>
          <w:sz w:val="20"/>
          <w:szCs w:val="20"/>
        </w:rPr>
        <w:t>FE</w:t>
      </w:r>
      <w:r>
        <w:rPr>
          <w:i w:val="0"/>
          <w:iCs w:val="0"/>
          <w:sz w:val="20"/>
          <w:szCs w:val="20"/>
        </w:rPr>
        <w:t xml:space="preserve">, y </w:t>
      </w:r>
      <w:r w:rsidRPr="007E2F5B">
        <w:rPr>
          <w:b/>
          <w:bCs/>
          <w:sz w:val="20"/>
          <w:szCs w:val="20"/>
        </w:rPr>
        <w:t>AB</w:t>
      </w:r>
      <w:r w:rsidRPr="00C4151A">
        <w:rPr>
          <w:rFonts w:ascii="Cambria Math" w:hAnsi="Cambria Math" w:cs="Cambria Math"/>
          <w:i w:val="0"/>
          <w:iCs w:val="0"/>
          <w:color w:val="202124"/>
          <w:sz w:val="21"/>
          <w:szCs w:val="21"/>
          <w:shd w:val="clear" w:color="auto" w:fill="FFFFFF"/>
        </w:rPr>
        <w:t xml:space="preserve"> ≅ </w:t>
      </w:r>
      <w:r w:rsidRPr="007E2F5B">
        <w:rPr>
          <w:b/>
          <w:bCs/>
          <w:sz w:val="20"/>
          <w:szCs w:val="20"/>
        </w:rPr>
        <w:t>EG</w:t>
      </w:r>
      <w:r w:rsidRPr="00C4151A">
        <w:rPr>
          <w:i w:val="0"/>
          <w:iCs w:val="0"/>
          <w:sz w:val="20"/>
          <w:szCs w:val="20"/>
        </w:rPr>
        <w:t xml:space="preserve">, </w:t>
      </w:r>
      <w:r w:rsidRPr="007E2F5B">
        <w:rPr>
          <w:b/>
          <w:bCs/>
          <w:sz w:val="20"/>
          <w:szCs w:val="20"/>
        </w:rPr>
        <w:t>BC</w:t>
      </w:r>
      <w:r w:rsidRPr="00C4151A">
        <w:rPr>
          <w:rFonts w:ascii="Cambria Math" w:hAnsi="Cambria Math" w:cs="Cambria Math"/>
          <w:i w:val="0"/>
          <w:iCs w:val="0"/>
          <w:color w:val="202124"/>
          <w:sz w:val="21"/>
          <w:szCs w:val="21"/>
          <w:shd w:val="clear" w:color="auto" w:fill="FFFFFF"/>
        </w:rPr>
        <w:t xml:space="preserve"> ≅ </w:t>
      </w:r>
      <w:r w:rsidRPr="007E2F5B">
        <w:rPr>
          <w:b/>
          <w:bCs/>
          <w:sz w:val="20"/>
          <w:szCs w:val="20"/>
        </w:rPr>
        <w:t>GF</w:t>
      </w:r>
      <w:r w:rsidRPr="00C4151A">
        <w:rPr>
          <w:i w:val="0"/>
          <w:iCs w:val="0"/>
          <w:sz w:val="20"/>
          <w:szCs w:val="20"/>
        </w:rPr>
        <w:t xml:space="preserve">, </w:t>
      </w:r>
      <w:r w:rsidRPr="007E2F5B">
        <w:rPr>
          <w:b/>
          <w:bCs/>
          <w:sz w:val="20"/>
          <w:szCs w:val="20"/>
        </w:rPr>
        <w:t>CA</w:t>
      </w:r>
      <w:r>
        <w:rPr>
          <w:rFonts w:ascii="Cambria Math" w:hAnsi="Cambria Math" w:cs="Cambria Math"/>
          <w:i w:val="0"/>
          <w:iCs w:val="0"/>
          <w:color w:val="202124"/>
          <w:sz w:val="21"/>
          <w:szCs w:val="21"/>
          <w:shd w:val="clear" w:color="auto" w:fill="FFFFFF"/>
        </w:rPr>
        <w:t xml:space="preserve"> </w:t>
      </w:r>
      <w:r w:rsidRPr="00C4151A">
        <w:rPr>
          <w:rFonts w:ascii="Cambria Math" w:hAnsi="Cambria Math" w:cs="Cambria Math"/>
          <w:i w:val="0"/>
          <w:iCs w:val="0"/>
          <w:color w:val="202124"/>
          <w:sz w:val="21"/>
          <w:szCs w:val="21"/>
          <w:shd w:val="clear" w:color="auto" w:fill="FFFFFF"/>
        </w:rPr>
        <w:t>≅</w:t>
      </w:r>
      <w:r>
        <w:rPr>
          <w:rFonts w:ascii="Cambria Math" w:hAnsi="Cambria Math" w:cs="Cambria Math"/>
          <w:i w:val="0"/>
          <w:iCs w:val="0"/>
          <w:color w:val="202124"/>
          <w:sz w:val="21"/>
          <w:szCs w:val="21"/>
          <w:shd w:val="clear" w:color="auto" w:fill="FFFFFF"/>
        </w:rPr>
        <w:t xml:space="preserve"> </w:t>
      </w:r>
      <w:r w:rsidRPr="007E2F5B">
        <w:rPr>
          <w:b/>
          <w:bCs/>
          <w:sz w:val="20"/>
          <w:szCs w:val="20"/>
        </w:rPr>
        <w:t>FE</w:t>
      </w:r>
    </w:p>
    <w:p w14:paraId="0298E939" w14:textId="77777777" w:rsidR="006F6E3D" w:rsidRDefault="006F6E3D" w:rsidP="006F6E3D">
      <w:r>
        <w:rPr>
          <w:noProof/>
          <w:lang w:val="pt-BR" w:eastAsia="pt-BR" w:bidi="ar-SA"/>
        </w:rPr>
        <w:lastRenderedPageBreak/>
        <w:drawing>
          <wp:inline distT="0" distB="0" distL="0" distR="0" wp14:anchorId="5B5A431C" wp14:editId="402DD94C">
            <wp:extent cx="3600000" cy="2457157"/>
            <wp:effectExtent l="0" t="0" r="0" b="0"/>
            <wp:docPr id="37" name="Imagen 3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líneas&#10;&#10;Descripción generada automáticamente"/>
                    <pic:cNvPicPr/>
                  </pic:nvPicPr>
                  <pic:blipFill rotWithShape="1">
                    <a:blip r:embed="rId22"/>
                    <a:srcRect t="2600" b="3782"/>
                    <a:stretch/>
                  </pic:blipFill>
                  <pic:spPr bwMode="auto">
                    <a:xfrm>
                      <a:off x="0" y="0"/>
                      <a:ext cx="3600000" cy="2457157"/>
                    </a:xfrm>
                    <a:prstGeom prst="rect">
                      <a:avLst/>
                    </a:prstGeom>
                    <a:ln>
                      <a:noFill/>
                    </a:ln>
                    <a:extLst>
                      <a:ext uri="{53640926-AAD7-44D8-BBD7-CCE9431645EC}">
                        <a14:shadowObscured xmlns:a14="http://schemas.microsoft.com/office/drawing/2010/main"/>
                      </a:ext>
                    </a:extLst>
                  </pic:spPr>
                </pic:pic>
              </a:graphicData>
            </a:graphic>
          </wp:inline>
        </w:drawing>
      </w:r>
    </w:p>
    <w:p w14:paraId="148B3337" w14:textId="77777777" w:rsidR="00E7624C" w:rsidRPr="00381DC3" w:rsidRDefault="00E7624C" w:rsidP="00E7624C">
      <w:pPr>
        <w:pStyle w:val="Ttulo2"/>
      </w:pPr>
      <w:r w:rsidRPr="00381DC3">
        <w:t xml:space="preserve">Diseñar y construir un envase con forma de pirámide </w:t>
      </w:r>
      <w:r>
        <w:t>con un volumen determinado</w:t>
      </w:r>
    </w:p>
    <w:p w14:paraId="3B388831" w14:textId="77777777" w:rsidR="00E7624C" w:rsidRDefault="00E7624C" w:rsidP="002E194B">
      <w:pPr>
        <w:rPr>
          <w:i/>
          <w:iCs/>
        </w:rPr>
      </w:pPr>
      <w:r>
        <w:t xml:space="preserve">Con el objeto de elaborar una posible respuesta </w:t>
      </w:r>
      <w:r w:rsidRPr="00381DC3">
        <w:rPr>
          <w:b/>
          <w:bCs/>
          <w:i/>
          <w:iCs/>
        </w:rPr>
        <w:t>R</w:t>
      </w:r>
      <w:r w:rsidRPr="00381DC3">
        <w:rPr>
          <w:vertAlign w:val="subscript"/>
        </w:rPr>
        <w:t>311</w:t>
      </w:r>
      <w:r>
        <w:t xml:space="preserve"> a </w:t>
      </w:r>
      <w:r w:rsidRPr="00381DC3">
        <w:rPr>
          <w:b/>
          <w:bCs/>
          <w:i/>
          <w:iCs/>
        </w:rPr>
        <w:t>Q</w:t>
      </w:r>
      <w:r w:rsidRPr="00381DC3">
        <w:rPr>
          <w:vertAlign w:val="subscript"/>
        </w:rPr>
        <w:t>311</w:t>
      </w:r>
      <w:r>
        <w:t xml:space="preserve"> debemos elaborar una respuesta al tipo de tareas </w:t>
      </w:r>
      <w:r>
        <w:rPr>
          <w:b/>
          <w:bCs/>
          <w:i/>
          <w:iCs/>
        </w:rPr>
        <w:t>T</w:t>
      </w:r>
      <w:r w:rsidRPr="00381DC3">
        <w:rPr>
          <w:vertAlign w:val="subscript"/>
        </w:rPr>
        <w:t>311</w:t>
      </w:r>
      <w:r>
        <w:rPr>
          <w:i/>
          <w:iCs/>
        </w:rPr>
        <w:t> </w:t>
      </w:r>
      <w:r w:rsidRPr="005C0B55">
        <w:rPr>
          <w:i/>
          <w:iCs/>
        </w:rPr>
        <w:t>=</w:t>
      </w:r>
      <w:r>
        <w:rPr>
          <w:i/>
          <w:iCs/>
        </w:rPr>
        <w:t> D</w:t>
      </w:r>
      <w:r w:rsidRPr="005C0B55">
        <w:rPr>
          <w:i/>
          <w:iCs/>
        </w:rPr>
        <w:t xml:space="preserve">iseñar y construir </w:t>
      </w:r>
      <w:r>
        <w:rPr>
          <w:i/>
          <w:iCs/>
        </w:rPr>
        <w:t>un</w:t>
      </w:r>
      <w:r w:rsidRPr="005C0B55">
        <w:rPr>
          <w:i/>
          <w:iCs/>
        </w:rPr>
        <w:t xml:space="preserve"> envase</w:t>
      </w:r>
      <w:r>
        <w:rPr>
          <w:i/>
          <w:iCs/>
        </w:rPr>
        <w:t xml:space="preserve"> con forma de pirámide, de manera que este tenga </w:t>
      </w:r>
      <w:r w:rsidRPr="005C0B55">
        <w:rPr>
          <w:i/>
          <w:iCs/>
        </w:rPr>
        <w:t xml:space="preserve">un volumen de </w:t>
      </w:r>
      <w:r w:rsidRPr="00381DC3">
        <w:rPr>
          <w:b/>
          <w:bCs/>
          <w:i/>
          <w:iCs/>
        </w:rPr>
        <w:t>V</w:t>
      </w:r>
      <w:r w:rsidRPr="005C0B55">
        <w:rPr>
          <w:i/>
          <w:iCs/>
        </w:rPr>
        <w:t xml:space="preserve"> cm</w:t>
      </w:r>
      <w:r w:rsidRPr="005C0B55">
        <w:rPr>
          <w:i/>
          <w:iCs/>
          <w:vertAlign w:val="superscript"/>
        </w:rPr>
        <w:t>3</w:t>
      </w:r>
      <w:r>
        <w:t>.</w:t>
      </w:r>
    </w:p>
    <w:p w14:paraId="02CD9705" w14:textId="77777777" w:rsidR="00E7624C" w:rsidRDefault="00E7624C" w:rsidP="002E194B">
      <w:pPr>
        <w:rPr>
          <w:rFonts w:eastAsiaTheme="minorEastAsia"/>
        </w:rPr>
      </w:pPr>
      <w:r>
        <w:t xml:space="preserve">Dentro de este tipo de tareas, hemos elegido la siguiente tarea particular: </w:t>
      </w:r>
      <w:r>
        <w:rPr>
          <w:b/>
          <w:bCs/>
          <w:i/>
          <w:iCs/>
        </w:rPr>
        <w:t>t</w:t>
      </w:r>
      <w:r w:rsidRPr="00381DC3">
        <w:rPr>
          <w:vertAlign w:val="subscript"/>
        </w:rPr>
        <w:t>311</w:t>
      </w:r>
      <w:r>
        <w:t> = </w:t>
      </w:r>
      <w:r>
        <w:rPr>
          <w:i/>
          <w:iCs/>
        </w:rPr>
        <w:t>Determinar</w:t>
      </w:r>
      <w:r w:rsidRPr="005C0B55">
        <w:rPr>
          <w:i/>
          <w:iCs/>
        </w:rPr>
        <w:t xml:space="preserve"> y construir </w:t>
      </w:r>
      <w:r>
        <w:rPr>
          <w:i/>
          <w:iCs/>
        </w:rPr>
        <w:t>un</w:t>
      </w:r>
      <w:r w:rsidRPr="005C0B55">
        <w:rPr>
          <w:i/>
          <w:iCs/>
        </w:rPr>
        <w:t xml:space="preserve"> envase</w:t>
      </w:r>
      <w:r>
        <w:rPr>
          <w:i/>
          <w:iCs/>
        </w:rPr>
        <w:t xml:space="preserve"> con forma de pirámide recta de base pentagonal regular, de manera que este tenga </w:t>
      </w:r>
      <w:r w:rsidRPr="005C0B55">
        <w:rPr>
          <w:i/>
          <w:iCs/>
        </w:rPr>
        <w:t xml:space="preserve">un volumen de </w:t>
      </w:r>
      <w:r w:rsidRPr="00381DC3">
        <w:rPr>
          <w:b/>
          <w:bCs/>
          <w:i/>
          <w:iCs/>
        </w:rPr>
        <w:t>V</w:t>
      </w:r>
      <w:r w:rsidRPr="005C0B55">
        <w:rPr>
          <w:i/>
          <w:iCs/>
        </w:rPr>
        <w:t xml:space="preserve"> </w:t>
      </w:r>
      <w:r w:rsidRPr="004C6C67">
        <w:t>cm</w:t>
      </w:r>
      <w:r w:rsidRPr="004C6C67">
        <w:rPr>
          <w:vertAlign w:val="superscript"/>
        </w:rPr>
        <w:t>3</w:t>
      </w:r>
      <w:r>
        <w:t>. Para l</w:t>
      </w:r>
      <w:r w:rsidRPr="00052BA6">
        <w:t>a</w:t>
      </w:r>
      <w:r>
        <w:t xml:space="preserve"> búsqueda de una respuesta a </w:t>
      </w:r>
      <w:r>
        <w:rPr>
          <w:b/>
          <w:bCs/>
          <w:i/>
          <w:iCs/>
        </w:rPr>
        <w:t>t</w:t>
      </w:r>
      <w:r w:rsidRPr="00381DC3">
        <w:rPr>
          <w:vertAlign w:val="subscript"/>
        </w:rPr>
        <w:t>311</w:t>
      </w:r>
      <w:r>
        <w:t xml:space="preserve"> sabemos que </w:t>
      </w:r>
      <m:oMath>
        <m:r>
          <m:rPr>
            <m:sty m:val="bi"/>
          </m:rPr>
          <w:rPr>
            <w:rFonts w:ascii="Cambria Math" w:hAnsi="Cambria Math"/>
          </w:rPr>
          <m:t>V</m:t>
        </m:r>
        <m:r>
          <w:rPr>
            <w:rFonts w:ascii="Cambria Math" w:hAnsi="Cambria Math"/>
          </w:rPr>
          <m:t>=</m:t>
        </m:r>
        <m:f>
          <m:fPr>
            <m:ctrlPr>
              <w:rPr>
                <w:rFonts w:ascii="Cambria Math" w:hAnsi="Cambria Math"/>
                <w:i/>
              </w:rPr>
            </m:ctrlPr>
          </m:fPr>
          <m:num>
            <m:r>
              <m:rPr>
                <m:sty m:val="bi"/>
              </m:rPr>
              <w:rPr>
                <w:rFonts w:ascii="Cambria Math" w:hAnsi="Cambria Math"/>
              </w:rPr>
              <m:t>BH</m:t>
            </m:r>
          </m:num>
          <m:den>
            <m:r>
              <w:rPr>
                <w:rFonts w:ascii="Cambria Math" w:hAnsi="Cambria Math"/>
              </w:rPr>
              <m:t>3</m:t>
            </m:r>
          </m:den>
        </m:f>
      </m:oMath>
      <w:r>
        <w:rPr>
          <w:rFonts w:eastAsiaTheme="minorEastAsia"/>
        </w:rPr>
        <w:t xml:space="preserve">, siendo </w:t>
      </w:r>
      <w:r w:rsidRPr="001E3C6B">
        <w:rPr>
          <w:rFonts w:eastAsiaTheme="minorEastAsia"/>
          <w:b/>
          <w:bCs/>
          <w:i/>
          <w:iCs/>
        </w:rPr>
        <w:t>B</w:t>
      </w:r>
      <w:r>
        <w:rPr>
          <w:rFonts w:eastAsiaTheme="minorEastAsia"/>
        </w:rPr>
        <w:t xml:space="preserve"> el área de la base de la pirámide y </w:t>
      </w:r>
      <w:r w:rsidRPr="001E3C6B">
        <w:rPr>
          <w:rFonts w:eastAsiaTheme="minorEastAsia"/>
          <w:b/>
          <w:bCs/>
          <w:i/>
          <w:iCs/>
        </w:rPr>
        <w:t>H</w:t>
      </w:r>
      <w:r>
        <w:rPr>
          <w:rFonts w:eastAsiaTheme="minorEastAsia"/>
        </w:rPr>
        <w:t xml:space="preserve"> su altura. El área de la base de un pentágono regular, en función de la arista </w:t>
      </w:r>
      <w:r w:rsidRPr="004C6C67">
        <w:rPr>
          <w:rFonts w:eastAsiaTheme="minorEastAsia"/>
          <w:b/>
          <w:bCs/>
          <w:i/>
          <w:iCs/>
        </w:rPr>
        <w:t>l</w:t>
      </w:r>
      <w:r>
        <w:rPr>
          <w:rFonts w:eastAsiaTheme="minorEastAsia"/>
        </w:rPr>
        <w:t>, es</w:t>
      </w:r>
    </w:p>
    <w:p w14:paraId="24275EC7" w14:textId="77777777" w:rsidR="00E7624C" w:rsidRPr="00AC7DDE" w:rsidRDefault="00E7624C" w:rsidP="002E194B">
      <w:pPr>
        <w:rPr>
          <w:rFonts w:ascii="Cambria Math" w:eastAsiaTheme="minorEastAsia" w:hAnsi="Cambria Math"/>
          <w:i/>
        </w:rPr>
      </w:pPr>
      <m:oMathPara>
        <m:oMathParaPr>
          <m:jc m:val="center"/>
        </m:oMathParaPr>
        <m:oMath>
          <m:r>
            <m:rPr>
              <m:sty m:val="bi"/>
            </m:rPr>
            <w:rPr>
              <w:rFonts w:ascii="Cambria Math" w:hAnsi="Cambria Math"/>
            </w:rPr>
            <m:t>B</m:t>
          </m:r>
          <m:r>
            <w:rPr>
              <w:rFonts w:ascii="Cambria Math" w:hAnsi="Cambria Math"/>
            </w:rPr>
            <m:t>=</m:t>
          </m:r>
          <m:f>
            <m:fPr>
              <m:ctrlPr>
                <w:rPr>
                  <w:rFonts w:ascii="Cambria Math" w:hAnsi="Cambria Math"/>
                  <w:i/>
                </w:rPr>
              </m:ctrlPr>
            </m:fPr>
            <m:num>
              <m:r>
                <w:rPr>
                  <w:rFonts w:ascii="Cambria Math" w:hAnsi="Cambria Math"/>
                </w:rPr>
                <m:t>5</m:t>
              </m:r>
              <m:sSup>
                <m:sSupPr>
                  <m:ctrlPr>
                    <w:rPr>
                      <w:rFonts w:ascii="Cambria Math" w:hAnsi="Cambria Math"/>
                      <w:i/>
                    </w:rPr>
                  </m:ctrlPr>
                </m:sSupPr>
                <m:e>
                  <m:r>
                    <m:rPr>
                      <m:sty m:val="bi"/>
                    </m:rPr>
                    <w:rPr>
                      <w:rFonts w:ascii="Cambria Math" w:hAnsi="Cambria Math"/>
                    </w:rPr>
                    <m:t>l</m:t>
                  </m:r>
                </m:e>
                <m:sup>
                  <m:r>
                    <w:rPr>
                      <w:rFonts w:ascii="Cambria Math" w:hAnsi="Cambria Math"/>
                    </w:rPr>
                    <m:t>2</m:t>
                  </m:r>
                </m:sup>
              </m:sSup>
            </m:num>
            <m:den>
              <m:r>
                <w:rPr>
                  <w:rFonts w:ascii="Cambria Math" w:eastAsiaTheme="minorEastAsia" w:hAnsi="Cambria Math"/>
                </w:rPr>
                <m:t xml:space="preserve">4 </m:t>
              </m:r>
              <m:r>
                <w:rPr>
                  <w:rFonts w:ascii="Cambria Math" w:hAnsi="Cambria Math"/>
                </w:rPr>
                <m:t>Tan 36º</m:t>
              </m:r>
            </m:den>
          </m:f>
        </m:oMath>
      </m:oMathPara>
    </w:p>
    <w:p w14:paraId="156BC879" w14:textId="532C19C5" w:rsidR="00E7624C" w:rsidRDefault="00E7624C" w:rsidP="002E194B">
      <w:pPr>
        <w:rPr>
          <w:rFonts w:eastAsiaTheme="minorEastAsia"/>
        </w:rPr>
      </w:pPr>
      <w:r w:rsidRPr="0090334C">
        <w:rPr>
          <w:iCs/>
        </w:rPr>
        <w:t>Para obtener dicho resultado</w:t>
      </w:r>
      <w:r>
        <w:rPr>
          <w:iCs/>
        </w:rPr>
        <w:t xml:space="preserve">, tenemos la base de la pirámide que es el </w:t>
      </w:r>
      <w:r>
        <w:rPr>
          <w:rFonts w:eastAsiaTheme="minorEastAsia"/>
        </w:rPr>
        <w:t xml:space="preserve">pentágono regular </w:t>
      </w:r>
      <w:r w:rsidRPr="007E2F5B">
        <w:rPr>
          <w:rFonts w:eastAsiaTheme="minorEastAsia"/>
          <w:b/>
          <w:bCs/>
          <w:i/>
          <w:iCs/>
        </w:rPr>
        <w:t>ABCDE</w:t>
      </w:r>
      <w:r w:rsidR="00AE44EE" w:rsidRPr="00AE44EE">
        <w:rPr>
          <w:rFonts w:eastAsiaTheme="minorEastAsia"/>
        </w:rPr>
        <w:t xml:space="preserve"> (</w:t>
      </w:r>
      <w:r w:rsidR="00AE44EE" w:rsidRPr="00AE44EE">
        <w:rPr>
          <w:rFonts w:eastAsiaTheme="minorEastAsia"/>
        </w:rPr>
        <w:fldChar w:fldCharType="begin"/>
      </w:r>
      <w:r w:rsidR="00AE44EE" w:rsidRPr="00AE44EE">
        <w:rPr>
          <w:rFonts w:eastAsiaTheme="minorEastAsia"/>
        </w:rPr>
        <w:instrText xml:space="preserve"> REF _Ref102819034 \h  \* MERGEFORMAT </w:instrText>
      </w:r>
      <w:r w:rsidR="00AE44EE" w:rsidRPr="00AE44EE">
        <w:rPr>
          <w:rFonts w:eastAsiaTheme="minorEastAsia"/>
        </w:rPr>
      </w:r>
      <w:r w:rsidR="00AE44EE" w:rsidRPr="00AE44EE">
        <w:rPr>
          <w:rFonts w:eastAsiaTheme="minorEastAsia"/>
        </w:rPr>
        <w:fldChar w:fldCharType="separate"/>
      </w:r>
      <w:r w:rsidR="00AE44EE" w:rsidRPr="00AE44EE">
        <w:t xml:space="preserve">Figura </w:t>
      </w:r>
      <w:r w:rsidR="00AE44EE" w:rsidRPr="00AE44EE">
        <w:rPr>
          <w:noProof/>
        </w:rPr>
        <w:t>16</w:t>
      </w:r>
      <w:r w:rsidR="00AE44EE" w:rsidRPr="00AE44EE">
        <w:rPr>
          <w:rFonts w:eastAsiaTheme="minorEastAsia"/>
        </w:rPr>
        <w:fldChar w:fldCharType="end"/>
      </w:r>
      <w:r w:rsidR="00AE44EE" w:rsidRPr="00AE44EE">
        <w:rPr>
          <w:rFonts w:eastAsiaTheme="minorEastAsia"/>
        </w:rPr>
        <w:t>)</w:t>
      </w:r>
      <w:r>
        <w:rPr>
          <w:rFonts w:eastAsiaTheme="minorEastAsia"/>
        </w:rPr>
        <w:t xml:space="preserve">, cuyos datos son: arista </w:t>
      </w:r>
      <w:r w:rsidRPr="0090334C">
        <w:rPr>
          <w:rFonts w:eastAsiaTheme="minorEastAsia"/>
          <w:b/>
          <w:bCs/>
          <w:i/>
          <w:iCs/>
        </w:rPr>
        <w:t>l</w:t>
      </w:r>
      <w:r>
        <w:rPr>
          <w:rFonts w:eastAsiaTheme="minorEastAsia"/>
        </w:rPr>
        <w:t xml:space="preserve">, perímetro </w:t>
      </w:r>
      <w:r w:rsidRPr="0090334C">
        <w:rPr>
          <w:rFonts w:eastAsiaTheme="minorEastAsia"/>
          <w:b/>
          <w:bCs/>
          <w:i/>
          <w:iCs/>
        </w:rPr>
        <w:t>p</w:t>
      </w:r>
      <w:r>
        <w:rPr>
          <w:rFonts w:eastAsiaTheme="minorEastAsia"/>
          <w:b/>
          <w:bCs/>
          <w:i/>
          <w:iCs/>
        </w:rPr>
        <w:t> </w:t>
      </w:r>
      <w:r>
        <w:rPr>
          <w:rFonts w:eastAsiaTheme="minorEastAsia"/>
          <w:i/>
          <w:iCs/>
        </w:rPr>
        <w:t>= </w:t>
      </w:r>
      <w:r w:rsidRPr="0090334C">
        <w:rPr>
          <w:rFonts w:eastAsiaTheme="minorEastAsia"/>
        </w:rPr>
        <w:t>6</w:t>
      </w:r>
      <w:r w:rsidRPr="0090334C">
        <w:rPr>
          <w:rFonts w:eastAsiaTheme="minorEastAsia"/>
          <w:b/>
          <w:bCs/>
          <w:i/>
          <w:iCs/>
        </w:rPr>
        <w:t>l,</w:t>
      </w:r>
      <w:r>
        <w:rPr>
          <w:rFonts w:eastAsiaTheme="minorEastAsia"/>
        </w:rPr>
        <w:t xml:space="preserve"> apotema </w:t>
      </w:r>
      <w:r w:rsidRPr="0090334C">
        <w:rPr>
          <w:rFonts w:eastAsiaTheme="minorEastAsia"/>
          <w:b/>
          <w:bCs/>
          <w:i/>
          <w:iCs/>
        </w:rPr>
        <w:t>a</w:t>
      </w:r>
      <w:r>
        <w:rPr>
          <w:rFonts w:eastAsiaTheme="minorEastAsia"/>
          <w:b/>
          <w:bCs/>
          <w:i/>
          <w:iCs/>
        </w:rPr>
        <w:t> </w:t>
      </w:r>
      <w:r>
        <w:rPr>
          <w:rFonts w:eastAsiaTheme="minorEastAsia"/>
          <w:i/>
          <w:iCs/>
        </w:rPr>
        <w:t>= </w:t>
      </w:r>
      <w:r w:rsidRPr="0090334C">
        <w:rPr>
          <w:rFonts w:eastAsiaTheme="minorEastAsia"/>
          <w:b/>
          <w:bCs/>
          <w:i/>
          <w:iCs/>
        </w:rPr>
        <w:t>MP</w:t>
      </w:r>
      <w:proofErr w:type="gramStart"/>
      <w:r>
        <w:rPr>
          <w:rFonts w:eastAsiaTheme="minorEastAsia"/>
        </w:rPr>
        <w:t xml:space="preserve">, </w:t>
      </w:r>
      <m:oMath>
        <m:r>
          <w:rPr>
            <w:rFonts w:ascii="Cambria Math" w:hAnsi="Cambria Math"/>
          </w:rPr>
          <m:t>medida del ángulo&lt;</m:t>
        </m:r>
        <m:r>
          <m:rPr>
            <m:sty m:val="bi"/>
          </m:rPr>
          <w:rPr>
            <w:rFonts w:ascii="Cambria Math" w:hAnsi="Cambria Math"/>
          </w:rPr>
          <m:t>PMB</m:t>
        </m:r>
        <m:r>
          <w:rPr>
            <w:rFonts w:ascii="Cambria Math" w:hAnsi="Cambria Math"/>
          </w:rPr>
          <m:t>=36º</m:t>
        </m:r>
      </m:oMath>
      <w:r>
        <w:rPr>
          <w:rFonts w:eastAsiaTheme="minorEastAsia"/>
        </w:rPr>
        <w:t xml:space="preserve">, </w:t>
      </w:r>
      <m:oMath>
        <m:r>
          <m:rPr>
            <m:sty m:val="bi"/>
          </m:rPr>
          <w:rPr>
            <w:rFonts w:ascii="Cambria Math" w:hAnsi="Cambria Math"/>
          </w:rPr>
          <m:t>AB</m:t>
        </m:r>
        <m:r>
          <w:rPr>
            <w:rFonts w:ascii="Cambria Math" w:hAnsi="Cambria Math"/>
          </w:rPr>
          <m:t>=</m:t>
        </m:r>
        <m:r>
          <m:rPr>
            <m:sty m:val="bi"/>
          </m:rPr>
          <w:rPr>
            <w:rFonts w:ascii="Cambria Math" w:hAnsi="Cambria Math"/>
          </w:rPr>
          <m:t>l</m:t>
        </m:r>
      </m:oMath>
      <w:r w:rsidRPr="0090334C">
        <w:rPr>
          <w:rFonts w:eastAsiaTheme="minorEastAsia"/>
          <w:b/>
          <w:bCs/>
          <w:i/>
        </w:rPr>
        <w:t xml:space="preserve">, </w:t>
      </w:r>
      <m:oMath>
        <m:r>
          <m:rPr>
            <m:sty m:val="bi"/>
          </m:rPr>
          <w:rPr>
            <w:rFonts w:ascii="Cambria Math" w:hAnsi="Cambria Math"/>
          </w:rPr>
          <w:lastRenderedPageBreak/>
          <m:t>PB</m:t>
        </m:r>
        <m:r>
          <w:rPr>
            <w:rFonts w:ascii="Cambria Math" w:hAnsi="Cambria Math"/>
          </w:rPr>
          <m:t>=</m:t>
        </m:r>
        <m:f>
          <m:fPr>
            <m:ctrlPr>
              <w:rPr>
                <w:rFonts w:ascii="Cambria Math" w:hAnsi="Cambria Math"/>
                <w:i/>
              </w:rPr>
            </m:ctrlPr>
          </m:fPr>
          <m:num>
            <m:r>
              <m:rPr>
                <m:sty m:val="bi"/>
              </m:rPr>
              <w:rPr>
                <w:rFonts w:ascii="Cambria Math" w:hAnsi="Cambria Math"/>
              </w:rPr>
              <m:t>l</m:t>
            </m:r>
          </m:num>
          <m:den>
            <m:r>
              <w:rPr>
                <w:rFonts w:ascii="Cambria Math" w:hAnsi="Cambria Math"/>
              </w:rPr>
              <m:t>2</m:t>
            </m:r>
          </m:den>
        </m:f>
      </m:oMath>
      <w:r>
        <w:rPr>
          <w:rFonts w:eastAsiaTheme="minorEastAsia"/>
        </w:rPr>
        <w:t>,</w:t>
      </w:r>
      <w:proofErr w:type="gramEnd"/>
      <w:r>
        <w:rPr>
          <w:rFonts w:eastAsiaTheme="minorEastAsia"/>
        </w:rPr>
        <w:t xml:space="preserve"> y con el triángulo</w:t>
      </w:r>
      <w:r w:rsidRPr="0090334C">
        <w:rPr>
          <w:rFonts w:eastAsiaTheme="minorEastAsia"/>
          <w:b/>
          <w:bCs/>
        </w:rPr>
        <w:t xml:space="preserve"> MPB</w:t>
      </w:r>
      <w:r>
        <w:rPr>
          <w:rFonts w:eastAsiaTheme="minorEastAsia"/>
        </w:rPr>
        <w:t xml:space="preserve"> rectángulo; Sabemos que el área de la base</w:t>
      </w:r>
      <w:r>
        <w:rPr>
          <w:rStyle w:val="Refdenotaderodap"/>
          <w:rFonts w:eastAsiaTheme="minorEastAsia"/>
        </w:rPr>
        <w:footnoteReference w:id="4"/>
      </w:r>
      <w:r>
        <w:rPr>
          <w:rFonts w:eastAsiaTheme="minorEastAsia"/>
        </w:rPr>
        <w:t xml:space="preserve"> es:</w:t>
      </w:r>
    </w:p>
    <w:p w14:paraId="0F831943" w14:textId="1CC81A2C" w:rsidR="002E194B" w:rsidRPr="006157C7" w:rsidRDefault="002E194B" w:rsidP="002E194B">
      <w:pPr>
        <w:pStyle w:val="Legenda"/>
        <w:rPr>
          <w:b/>
          <w:bCs/>
        </w:rPr>
      </w:pPr>
      <w:bookmarkStart w:id="20" w:name="_Ref102819034"/>
      <w:r w:rsidRPr="006157C7">
        <w:rPr>
          <w:b/>
          <w:bCs/>
        </w:rPr>
        <w:t xml:space="preserve">Figura </w:t>
      </w:r>
      <w:r w:rsidRPr="006157C7">
        <w:rPr>
          <w:b/>
          <w:bCs/>
        </w:rPr>
        <w:fldChar w:fldCharType="begin"/>
      </w:r>
      <w:r w:rsidRPr="006157C7">
        <w:rPr>
          <w:b/>
          <w:bCs/>
        </w:rPr>
        <w:instrText xml:space="preserve"> SEQ Figura \* ARABIC </w:instrText>
      </w:r>
      <w:r w:rsidRPr="006157C7">
        <w:rPr>
          <w:b/>
          <w:bCs/>
        </w:rPr>
        <w:fldChar w:fldCharType="separate"/>
      </w:r>
      <w:r w:rsidR="001F1E38">
        <w:rPr>
          <w:b/>
          <w:bCs/>
          <w:noProof/>
        </w:rPr>
        <w:t>16</w:t>
      </w:r>
      <w:r w:rsidRPr="006157C7">
        <w:rPr>
          <w:b/>
          <w:bCs/>
        </w:rPr>
        <w:fldChar w:fldCharType="end"/>
      </w:r>
      <w:bookmarkEnd w:id="20"/>
      <w:r w:rsidRPr="006157C7">
        <w:rPr>
          <w:b/>
          <w:bCs/>
        </w:rPr>
        <w:t>.</w:t>
      </w:r>
    </w:p>
    <w:p w14:paraId="5FDCA35A" w14:textId="7386A55F" w:rsidR="002E194B" w:rsidRDefault="002E194B" w:rsidP="002E194B">
      <w:pPr>
        <w:pStyle w:val="Legenda"/>
      </w:pPr>
      <w:r w:rsidRPr="0045761D">
        <w:rPr>
          <w:i w:val="0"/>
          <w:iCs w:val="0"/>
          <w:sz w:val="20"/>
          <w:szCs w:val="20"/>
        </w:rPr>
        <w:t>Pentágono regular base de la pirámide recta</w:t>
      </w:r>
    </w:p>
    <w:p w14:paraId="379DAD2E" w14:textId="77777777" w:rsidR="002E194B" w:rsidRDefault="002E194B" w:rsidP="002E194B">
      <w:pPr>
        <w:pStyle w:val="Legenda"/>
        <w:rPr>
          <w:rFonts w:eastAsiaTheme="minorEastAsia"/>
        </w:rPr>
      </w:pPr>
    </w:p>
    <w:p w14:paraId="324D1209" w14:textId="77777777" w:rsidR="002E194B" w:rsidRDefault="002E194B" w:rsidP="002E194B">
      <w:pPr>
        <w:ind w:firstLine="708"/>
        <w:jc w:val="center"/>
        <w:rPr>
          <w:rFonts w:eastAsiaTheme="minorEastAsia"/>
        </w:rPr>
      </w:pPr>
      <w:r>
        <w:rPr>
          <w:noProof/>
          <w:lang w:val="pt-BR" w:eastAsia="pt-BR" w:bidi="ar-SA"/>
        </w:rPr>
        <w:drawing>
          <wp:inline distT="0" distB="0" distL="0" distR="0" wp14:anchorId="59B059D9" wp14:editId="3F996716">
            <wp:extent cx="1895575" cy="1800000"/>
            <wp:effectExtent l="0" t="0" r="0" b="0"/>
            <wp:docPr id="40" name="Imagen 4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895575" cy="1800000"/>
                    </a:xfrm>
                    <a:prstGeom prst="rect">
                      <a:avLst/>
                    </a:prstGeom>
                  </pic:spPr>
                </pic:pic>
              </a:graphicData>
            </a:graphic>
          </wp:inline>
        </w:drawing>
      </w:r>
    </w:p>
    <w:p w14:paraId="62F67BB5" w14:textId="77777777" w:rsidR="00E7624C" w:rsidRPr="008A3A1F" w:rsidRDefault="00E7624C" w:rsidP="00E7624C">
      <w:pPr>
        <w:rPr>
          <w:rFonts w:eastAsiaTheme="minorEastAsia"/>
          <w:i/>
        </w:rPr>
      </w:pPr>
      <m:oMathPara>
        <m:oMathParaPr>
          <m:jc m:val="center"/>
        </m:oMathParaPr>
        <m:oMath>
          <m:r>
            <m:rPr>
              <m:sty m:val="bi"/>
            </m:rPr>
            <w:rPr>
              <w:rFonts w:ascii="Cambria Math" w:hAnsi="Cambria Math"/>
            </w:rPr>
            <m:t>B</m:t>
          </m:r>
          <m:r>
            <w:rPr>
              <w:rFonts w:ascii="Cambria Math" w:hAnsi="Cambria Math"/>
            </w:rPr>
            <m:t>=</m:t>
          </m:r>
          <m:f>
            <m:fPr>
              <m:ctrlPr>
                <w:rPr>
                  <w:rFonts w:ascii="Cambria Math" w:hAnsi="Cambria Math"/>
                  <w:i/>
                </w:rPr>
              </m:ctrlPr>
            </m:fPr>
            <m:num>
              <m:r>
                <m:rPr>
                  <m:sty m:val="bi"/>
                </m:rPr>
                <w:rPr>
                  <w:rFonts w:ascii="Cambria Math" w:hAnsi="Cambria Math"/>
                </w:rPr>
                <m:t>pa</m:t>
              </m:r>
            </m:num>
            <m:den>
              <m:r>
                <w:rPr>
                  <w:rFonts w:ascii="Cambria Math" w:hAnsi="Cambria Math"/>
                </w:rPr>
                <m:t>2</m:t>
              </m:r>
            </m:den>
          </m:f>
        </m:oMath>
      </m:oMathPara>
    </w:p>
    <w:p w14:paraId="24F4BFF9" w14:textId="48F295DC" w:rsidR="00E7624C" w:rsidRPr="002A572A" w:rsidRDefault="00E7624C" w:rsidP="00E7624C">
      <w:r>
        <w:t>Pero,</w:t>
      </w:r>
    </w:p>
    <w:p w14:paraId="5C75788A" w14:textId="77777777" w:rsidR="00E7624C" w:rsidRPr="008A3A1F" w:rsidRDefault="00E7624C" w:rsidP="00E7624C">
      <w:pPr>
        <w:rPr>
          <w:rFonts w:eastAsiaTheme="minorEastAsia"/>
          <w:i/>
        </w:rPr>
      </w:pPr>
      <m:oMathPara>
        <m:oMathParaPr>
          <m:jc m:val="center"/>
        </m:oMathParaPr>
        <m:oMath>
          <m:r>
            <w:rPr>
              <w:rFonts w:ascii="Cambria Math" w:hAnsi="Cambria Math"/>
            </w:rPr>
            <m:t>Tan 36º=</m:t>
          </m:r>
          <m:f>
            <m:fPr>
              <m:ctrlPr>
                <w:rPr>
                  <w:rFonts w:ascii="Cambria Math" w:eastAsiaTheme="minorEastAsia" w:hAnsi="Cambria Math"/>
                  <w:i/>
                </w:rPr>
              </m:ctrlPr>
            </m:fPr>
            <m:num>
              <m:r>
                <m:rPr>
                  <m:sty m:val="bi"/>
                </m:rPr>
                <w:rPr>
                  <w:rFonts w:ascii="Cambria Math" w:eastAsiaTheme="minorEastAsia" w:hAnsi="Cambria Math"/>
                </w:rPr>
                <m:t>l</m:t>
              </m:r>
            </m:num>
            <m:den>
              <m:r>
                <w:rPr>
                  <w:rFonts w:ascii="Cambria Math" w:eastAsiaTheme="minorEastAsia" w:hAnsi="Cambria Math"/>
                </w:rPr>
                <m:t>2</m:t>
              </m:r>
              <m:r>
                <m:rPr>
                  <m:sty m:val="bi"/>
                </m:rPr>
                <w:rPr>
                  <w:rFonts w:ascii="Cambria Math" w:eastAsiaTheme="minorEastAsia" w:hAnsi="Cambria Math"/>
                </w:rPr>
                <m:t>a</m:t>
              </m:r>
            </m:den>
          </m:f>
        </m:oMath>
      </m:oMathPara>
    </w:p>
    <w:p w14:paraId="219E321B" w14:textId="77777777" w:rsidR="00E7624C" w:rsidRPr="008A3A1F" w:rsidRDefault="00E7624C" w:rsidP="00E7624C">
      <w:pPr>
        <w:rPr>
          <w:rFonts w:eastAsiaTheme="minorEastAsia"/>
          <w:i/>
        </w:rPr>
      </w:pPr>
      <m:oMathPara>
        <m:oMathParaPr>
          <m:jc m:val="center"/>
        </m:oMathParaPr>
        <m:oMath>
          <m:r>
            <m:rPr>
              <m:sty m:val="bi"/>
            </m:rPr>
            <w:rPr>
              <w:rFonts w:ascii="Cambria Math" w:hAnsi="Cambria Math"/>
            </w:rPr>
            <m:t>a</m:t>
          </m:r>
          <m:r>
            <w:rPr>
              <w:rFonts w:ascii="Cambria Math" w:hAnsi="Cambria Math"/>
            </w:rPr>
            <m:t>=</m:t>
          </m:r>
          <m:f>
            <m:fPr>
              <m:ctrlPr>
                <w:rPr>
                  <w:rFonts w:ascii="Cambria Math" w:eastAsiaTheme="minorEastAsia" w:hAnsi="Cambria Math"/>
                  <w:i/>
                </w:rPr>
              </m:ctrlPr>
            </m:fPr>
            <m:num>
              <m:r>
                <m:rPr>
                  <m:sty m:val="bi"/>
                </m:rPr>
                <w:rPr>
                  <w:rFonts w:ascii="Cambria Math" w:eastAsiaTheme="minorEastAsia" w:hAnsi="Cambria Math"/>
                </w:rPr>
                <m:t>l</m:t>
              </m:r>
            </m:num>
            <m:den>
              <m:r>
                <w:rPr>
                  <w:rFonts w:ascii="Cambria Math" w:eastAsiaTheme="minorEastAsia" w:hAnsi="Cambria Math"/>
                </w:rPr>
                <m:t xml:space="preserve">2 </m:t>
              </m:r>
              <m:r>
                <w:rPr>
                  <w:rFonts w:ascii="Cambria Math" w:hAnsi="Cambria Math"/>
                </w:rPr>
                <m:t>Tan 36º</m:t>
              </m:r>
            </m:den>
          </m:f>
        </m:oMath>
      </m:oMathPara>
    </w:p>
    <w:p w14:paraId="4CF505D5" w14:textId="4FA28AD4" w:rsidR="00E7624C" w:rsidRPr="007D7755" w:rsidRDefault="00E7624C" w:rsidP="00E7624C">
      <w:pPr>
        <w:rPr>
          <w:rFonts w:eastAsiaTheme="minorEastAsia"/>
        </w:rPr>
      </w:pPr>
      <w:r>
        <w:t>Sustituyendo el valor de</w:t>
      </w:r>
      <w:r w:rsidRPr="009A49D2">
        <w:rPr>
          <w:b/>
          <w:bCs/>
          <w:i/>
          <w:iCs/>
        </w:rPr>
        <w:t xml:space="preserve"> a</w:t>
      </w:r>
      <w:r w:rsidR="007D7755" w:rsidRPr="007D7755">
        <w:t xml:space="preserve">, </w:t>
      </w:r>
      <w:r w:rsidR="007D7755">
        <w:t>se obtiene:</w:t>
      </w:r>
    </w:p>
    <w:p w14:paraId="6EED95EA" w14:textId="77777777" w:rsidR="00E7624C" w:rsidRPr="007D198F" w:rsidRDefault="00E7624C" w:rsidP="00E7624C">
      <w:pPr>
        <w:rPr>
          <w:i/>
        </w:rPr>
      </w:pPr>
      <m:oMathPara>
        <m:oMathParaPr>
          <m:jc m:val="center"/>
        </m:oMathParaPr>
        <m:oMath>
          <m:r>
            <m:rPr>
              <m:sty m:val="bi"/>
            </m:rPr>
            <w:rPr>
              <w:rFonts w:ascii="Cambria Math" w:hAnsi="Cambria Math"/>
            </w:rPr>
            <m:t>B</m:t>
          </m:r>
          <m:r>
            <w:rPr>
              <w:rFonts w:ascii="Cambria Math" w:hAnsi="Cambria Math"/>
            </w:rPr>
            <m:t>=</m:t>
          </m:r>
          <m:f>
            <m:fPr>
              <m:ctrlPr>
                <w:rPr>
                  <w:rFonts w:ascii="Cambria Math" w:hAnsi="Cambria Math"/>
                  <w:i/>
                </w:rPr>
              </m:ctrlPr>
            </m:fPr>
            <m:num>
              <m:r>
                <w:rPr>
                  <w:rFonts w:ascii="Cambria Math" w:hAnsi="Cambria Math"/>
                </w:rPr>
                <m:t>5</m:t>
              </m:r>
              <m:sSup>
                <m:sSupPr>
                  <m:ctrlPr>
                    <w:rPr>
                      <w:rFonts w:ascii="Cambria Math" w:hAnsi="Cambria Math"/>
                      <w:b/>
                      <w:bCs/>
                      <w:i/>
                    </w:rPr>
                  </m:ctrlPr>
                </m:sSupPr>
                <m:e>
                  <m:r>
                    <m:rPr>
                      <m:sty m:val="bi"/>
                    </m:rPr>
                    <w:rPr>
                      <w:rFonts w:ascii="Cambria Math" w:hAnsi="Cambria Math"/>
                    </w:rPr>
                    <m:t>l</m:t>
                  </m:r>
                </m:e>
                <m:sup>
                  <m:r>
                    <m:rPr>
                      <m:sty m:val="bi"/>
                    </m:rPr>
                    <w:rPr>
                      <w:rFonts w:ascii="Cambria Math" w:hAnsi="Cambria Math"/>
                    </w:rPr>
                    <m:t>2</m:t>
                  </m:r>
                </m:sup>
              </m:sSup>
            </m:num>
            <m:den>
              <m:r>
                <w:rPr>
                  <w:rFonts w:ascii="Cambria Math" w:eastAsiaTheme="minorEastAsia" w:hAnsi="Cambria Math"/>
                </w:rPr>
                <m:t xml:space="preserve">4 </m:t>
              </m:r>
              <m:r>
                <w:rPr>
                  <w:rFonts w:ascii="Cambria Math" w:hAnsi="Cambria Math"/>
                </w:rPr>
                <m:t>Tan 36º</m:t>
              </m:r>
            </m:den>
          </m:f>
        </m:oMath>
      </m:oMathPara>
    </w:p>
    <w:p w14:paraId="2B9D3489" w14:textId="77777777" w:rsidR="00E7624C" w:rsidRPr="009A49D2" w:rsidRDefault="00E7624C" w:rsidP="00E7624C">
      <w:pPr>
        <w:rPr>
          <w:rFonts w:eastAsiaTheme="minorEastAsia"/>
        </w:rPr>
      </w:pPr>
      <w:r>
        <w:rPr>
          <w:rFonts w:eastAsiaTheme="minorEastAsia"/>
        </w:rPr>
        <w:lastRenderedPageBreak/>
        <w:t xml:space="preserve">Y sustituyendo </w:t>
      </w:r>
      <w:r w:rsidRPr="000C794D">
        <w:rPr>
          <w:rFonts w:eastAsiaTheme="minorEastAsia"/>
          <w:b/>
          <w:bCs/>
          <w:i/>
          <w:iCs/>
        </w:rPr>
        <w:t>B</w:t>
      </w:r>
      <w:r>
        <w:rPr>
          <w:rFonts w:eastAsiaTheme="minorEastAsia"/>
        </w:rPr>
        <w:t xml:space="preserve"> en la fórmula del volumen </w:t>
      </w:r>
      <w:r w:rsidRPr="009A49D2">
        <w:rPr>
          <w:rFonts w:eastAsiaTheme="minorEastAsia"/>
          <w:b/>
          <w:bCs/>
          <w:i/>
          <w:iCs/>
        </w:rPr>
        <w:t>V</w:t>
      </w:r>
      <w:r>
        <w:rPr>
          <w:rFonts w:eastAsiaTheme="minorEastAsia"/>
        </w:rPr>
        <w:t xml:space="preserve"> se obtiene:</w:t>
      </w:r>
    </w:p>
    <w:p w14:paraId="6DE3FF0A" w14:textId="77777777" w:rsidR="00910D87" w:rsidRDefault="00E7624C" w:rsidP="00910D87">
      <w:pPr>
        <w:rPr>
          <w:rFonts w:eastAsiaTheme="minorEastAsia"/>
        </w:rPr>
      </w:pPr>
      <m:oMathPara>
        <m:oMath>
          <m:r>
            <m:rPr>
              <m:sty m:val="bi"/>
            </m:rPr>
            <w:rPr>
              <w:rFonts w:ascii="Cambria Math" w:hAnsi="Cambria Math"/>
            </w:rPr>
            <m:t>V</m:t>
          </m:r>
          <m:r>
            <w:rPr>
              <w:rFonts w:ascii="Cambria Math" w:hAnsi="Cambria Math"/>
            </w:rPr>
            <m:t>=</m:t>
          </m:r>
          <m:f>
            <m:fPr>
              <m:ctrlPr>
                <w:rPr>
                  <w:rFonts w:ascii="Cambria Math" w:hAnsi="Cambria Math"/>
                  <w:i/>
                </w:rPr>
              </m:ctrlPr>
            </m:fPr>
            <m:num>
              <m:r>
                <w:rPr>
                  <w:rFonts w:ascii="Cambria Math" w:hAnsi="Cambria Math"/>
                </w:rPr>
                <m:t>5</m:t>
              </m:r>
              <m:sSup>
                <m:sSupPr>
                  <m:ctrlPr>
                    <w:rPr>
                      <w:rFonts w:ascii="Cambria Math" w:hAnsi="Cambria Math"/>
                      <w:b/>
                      <w:bCs/>
                      <w:i/>
                    </w:rPr>
                  </m:ctrlPr>
                </m:sSupPr>
                <m:e>
                  <m:r>
                    <m:rPr>
                      <m:sty m:val="bi"/>
                    </m:rPr>
                    <w:rPr>
                      <w:rFonts w:ascii="Cambria Math" w:hAnsi="Cambria Math"/>
                    </w:rPr>
                    <m:t>l</m:t>
                  </m:r>
                </m:e>
                <m:sup>
                  <m:r>
                    <m:rPr>
                      <m:sty m:val="bi"/>
                    </m:rPr>
                    <w:rPr>
                      <w:rFonts w:ascii="Cambria Math" w:hAnsi="Cambria Math"/>
                    </w:rPr>
                    <m:t>2</m:t>
                  </m:r>
                </m:sup>
              </m:sSup>
              <m:r>
                <m:rPr>
                  <m:sty m:val="bi"/>
                </m:rPr>
                <w:rPr>
                  <w:rFonts w:ascii="Cambria Math" w:hAnsi="Cambria Math"/>
                </w:rPr>
                <m:t>H</m:t>
              </m:r>
            </m:num>
            <m:den>
              <m:r>
                <w:rPr>
                  <w:rFonts w:ascii="Cambria Math" w:eastAsiaTheme="minorEastAsia" w:hAnsi="Cambria Math"/>
                </w:rPr>
                <m:t xml:space="preserve">12 </m:t>
              </m:r>
              <m:r>
                <w:rPr>
                  <w:rFonts w:ascii="Cambria Math" w:hAnsi="Cambria Math"/>
                </w:rPr>
                <m:t>Tan 36º</m:t>
              </m:r>
            </m:den>
          </m:f>
        </m:oMath>
      </m:oMathPara>
    </w:p>
    <w:p w14:paraId="2CC5F0B9" w14:textId="2B22B739" w:rsidR="00E7624C" w:rsidRPr="00910D87" w:rsidRDefault="00E7624C" w:rsidP="00910D87">
      <w:pPr>
        <w:rPr>
          <w:rFonts w:eastAsiaTheme="minorEastAsia"/>
        </w:rPr>
      </w:pPr>
      <w:r>
        <w:rPr>
          <w:rFonts w:eastAsiaTheme="minorEastAsia"/>
        </w:rPr>
        <w:t xml:space="preserve">Despejamos </w:t>
      </w:r>
      <w:r w:rsidRPr="00D36C38">
        <w:rPr>
          <w:rFonts w:eastAsiaTheme="minorEastAsia"/>
          <w:b/>
          <w:bCs/>
          <w:i/>
          <w:iCs/>
        </w:rPr>
        <w:t>l</w:t>
      </w:r>
      <w:r>
        <w:rPr>
          <w:rFonts w:eastAsiaTheme="minorEastAsia"/>
        </w:rPr>
        <w:t xml:space="preserve"> y obtenemos una primera </w:t>
      </w:r>
      <w:r>
        <w:t>relación funcional entre</w:t>
      </w:r>
      <w:r w:rsidR="00910D87" w:rsidRPr="00D64EC7">
        <w:rPr>
          <w:rFonts w:eastAsiaTheme="minorEastAsia"/>
          <w:b/>
          <w:bCs/>
          <w:i/>
          <w:iCs/>
        </w:rPr>
        <w:t xml:space="preserve"> </w:t>
      </w:r>
      <w:r w:rsidR="00A13160" w:rsidRPr="00D64EC7">
        <w:rPr>
          <w:b/>
          <w:bCs/>
          <w:i/>
          <w:iCs/>
        </w:rPr>
        <w:t>l</w:t>
      </w:r>
      <w:r w:rsidR="00A13160">
        <w:t xml:space="preserve"> y </w:t>
      </w:r>
      <w:r w:rsidR="00A13160" w:rsidRPr="00D64EC7">
        <w:rPr>
          <w:b/>
          <w:bCs/>
          <w:i/>
          <w:iCs/>
        </w:rPr>
        <w:t>H</w:t>
      </w:r>
      <w:r>
        <w:t xml:space="preserve"> para un volumen dado </w:t>
      </w:r>
      <w:r w:rsidRPr="00D36C38">
        <w:rPr>
          <w:b/>
          <w:bCs/>
          <w:i/>
          <w:iCs/>
        </w:rPr>
        <w:t>V</w:t>
      </w:r>
      <w:r>
        <w:rPr>
          <w:b/>
          <w:bCs/>
          <w:i/>
          <w:iCs/>
        </w:rPr>
        <w:t>.</w:t>
      </w:r>
    </w:p>
    <w:p w14:paraId="40B0BBA1" w14:textId="77777777" w:rsidR="00E7624C" w:rsidRPr="00C0202A" w:rsidRDefault="003F46D4" w:rsidP="00910D87">
      <w:pPr>
        <w:rPr>
          <w:rFonts w:eastAsiaTheme="minorEastAsia"/>
          <w:i/>
        </w:rPr>
      </w:pPr>
      <m:oMathPara>
        <m:oMath>
          <m:rad>
            <m:radPr>
              <m:degHide m:val="1"/>
              <m:ctrlPr>
                <w:rPr>
                  <w:rFonts w:ascii="Cambria Math" w:eastAsiaTheme="minorEastAsia" w:hAnsi="Cambria Math"/>
                  <w:i/>
                </w:rPr>
              </m:ctrlPr>
            </m:radPr>
            <m:deg/>
            <m:e>
              <m:f>
                <m:fPr>
                  <m:ctrlPr>
                    <w:rPr>
                      <w:rFonts w:ascii="Cambria Math" w:hAnsi="Cambria Math"/>
                      <w:i/>
                    </w:rPr>
                  </m:ctrlPr>
                </m:fPr>
                <m:num>
                  <m:r>
                    <m:rPr>
                      <m:sty m:val="bi"/>
                    </m:rPr>
                    <w:rPr>
                      <w:rFonts w:ascii="Cambria Math" w:hAnsi="Cambria Math"/>
                    </w:rPr>
                    <m:t xml:space="preserve"> V</m:t>
                  </m:r>
                  <m:r>
                    <w:rPr>
                      <w:rFonts w:ascii="Cambria Math" w:hAnsi="Cambria Math"/>
                    </w:rPr>
                    <m:t xml:space="preserve"> 12</m:t>
                  </m:r>
                  <m:r>
                    <w:rPr>
                      <w:rFonts w:ascii="Cambria Math" w:eastAsiaTheme="minorEastAsia" w:hAnsi="Cambria Math"/>
                    </w:rPr>
                    <m:t xml:space="preserve"> </m:t>
                  </m:r>
                  <m:r>
                    <w:rPr>
                      <w:rFonts w:ascii="Cambria Math" w:hAnsi="Cambria Math"/>
                    </w:rPr>
                    <m:t>Tan 36º</m:t>
                  </m:r>
                </m:num>
                <m:den>
                  <m:r>
                    <w:rPr>
                      <w:rFonts w:ascii="Cambria Math" w:hAnsi="Cambria Math"/>
                    </w:rPr>
                    <m:t>5</m:t>
                  </m:r>
                  <m:r>
                    <m:rPr>
                      <m:sty m:val="bi"/>
                    </m:rPr>
                    <w:rPr>
                      <w:rFonts w:ascii="Cambria Math" w:hAnsi="Cambria Math"/>
                    </w:rPr>
                    <m:t>H</m:t>
                  </m:r>
                </m:den>
              </m:f>
            </m:e>
          </m:rad>
          <m:r>
            <w:rPr>
              <w:rFonts w:ascii="Cambria Math" w:eastAsiaTheme="minorEastAsia" w:hAnsi="Cambria Math"/>
            </w:rPr>
            <m:t>=</m:t>
          </m:r>
          <m:r>
            <m:rPr>
              <m:sty m:val="bi"/>
            </m:rPr>
            <w:rPr>
              <w:rFonts w:ascii="Cambria Math" w:eastAsiaTheme="minorEastAsia" w:hAnsi="Cambria Math"/>
            </w:rPr>
            <m:t>l</m:t>
          </m:r>
        </m:oMath>
      </m:oMathPara>
    </w:p>
    <w:p w14:paraId="571AED56" w14:textId="77777777" w:rsidR="00E7624C" w:rsidRDefault="00E7624C" w:rsidP="00910D87">
      <w:pPr>
        <w:rPr>
          <w:rFonts w:eastAsiaTheme="minorEastAsia"/>
        </w:rPr>
      </w:pPr>
      <w:r>
        <w:rPr>
          <w:rFonts w:eastAsiaTheme="minorEastAsia"/>
        </w:rPr>
        <w:t xml:space="preserve">Pero, si despejamos </w:t>
      </w:r>
      <w:r w:rsidRPr="00D36C38">
        <w:rPr>
          <w:rFonts w:eastAsiaTheme="minorEastAsia"/>
          <w:b/>
          <w:bCs/>
          <w:i/>
          <w:iCs/>
        </w:rPr>
        <w:t>H</w:t>
      </w:r>
      <w:r>
        <w:rPr>
          <w:rFonts w:eastAsiaTheme="minorEastAsia"/>
        </w:rPr>
        <w:t>, tenemos, una segunda</w:t>
      </w:r>
      <w:r>
        <w:t xml:space="preserve"> relación funcional entre </w:t>
      </w:r>
      <w:r w:rsidRPr="00083EAA">
        <w:rPr>
          <w:b/>
          <w:bCs/>
          <w:i/>
          <w:iCs/>
        </w:rPr>
        <w:t>H</w:t>
      </w:r>
      <w:r>
        <w:t xml:space="preserve"> y </w:t>
      </w:r>
      <w:r w:rsidRPr="00D36C38">
        <w:rPr>
          <w:rFonts w:eastAsiaTheme="minorEastAsia"/>
          <w:b/>
          <w:bCs/>
          <w:i/>
          <w:iCs/>
        </w:rPr>
        <w:t>l</w:t>
      </w:r>
      <w:r>
        <w:rPr>
          <w:rFonts w:eastAsiaTheme="minorEastAsia"/>
        </w:rPr>
        <w:t xml:space="preserve"> </w:t>
      </w:r>
      <w:r>
        <w:t xml:space="preserve">para un volumen </w:t>
      </w:r>
      <w:r w:rsidRPr="00D36C38">
        <w:rPr>
          <w:b/>
          <w:bCs/>
          <w:i/>
          <w:iCs/>
        </w:rPr>
        <w:t>V</w:t>
      </w:r>
      <w:r>
        <w:rPr>
          <w:rFonts w:eastAsiaTheme="minorEastAsia"/>
        </w:rPr>
        <w:t>:</w:t>
      </w:r>
    </w:p>
    <w:p w14:paraId="3F0FD64E" w14:textId="77777777" w:rsidR="00E7624C" w:rsidRPr="00C0202A" w:rsidRDefault="003F46D4" w:rsidP="00910D87">
      <w:pPr>
        <w:rPr>
          <w:rFonts w:eastAsiaTheme="minorEastAsia"/>
          <w:i/>
        </w:rPr>
      </w:pPr>
      <m:oMathPara>
        <m:oMath>
          <m:f>
            <m:fPr>
              <m:ctrlPr>
                <w:rPr>
                  <w:rFonts w:ascii="Cambria Math" w:hAnsi="Cambria Math"/>
                  <w:i/>
                </w:rPr>
              </m:ctrlPr>
            </m:fPr>
            <m:num>
              <m:r>
                <m:rPr>
                  <m:sty m:val="bi"/>
                </m:rPr>
                <w:rPr>
                  <w:rFonts w:ascii="Cambria Math" w:hAnsi="Cambria Math"/>
                </w:rPr>
                <m:t>V</m:t>
              </m:r>
              <m:r>
                <w:rPr>
                  <w:rFonts w:ascii="Cambria Math" w:eastAsiaTheme="minorEastAsia" w:hAnsi="Cambria Math"/>
                </w:rPr>
                <m:t xml:space="preserve"> 12 </m:t>
              </m:r>
              <m:r>
                <w:rPr>
                  <w:rFonts w:ascii="Cambria Math" w:hAnsi="Cambria Math"/>
                </w:rPr>
                <m:t>Tan 36º</m:t>
              </m:r>
            </m:num>
            <m:den>
              <m:r>
                <w:rPr>
                  <w:rFonts w:ascii="Cambria Math" w:hAnsi="Cambria Math"/>
                </w:rPr>
                <m:t>5</m:t>
              </m:r>
              <m:sSup>
                <m:sSupPr>
                  <m:ctrlPr>
                    <w:rPr>
                      <w:rFonts w:ascii="Cambria Math" w:hAnsi="Cambria Math"/>
                      <w:b/>
                      <w:bCs/>
                      <w:i/>
                    </w:rPr>
                  </m:ctrlPr>
                </m:sSupPr>
                <m:e>
                  <m:r>
                    <m:rPr>
                      <m:sty m:val="bi"/>
                    </m:rPr>
                    <w:rPr>
                      <w:rFonts w:ascii="Cambria Math" w:hAnsi="Cambria Math"/>
                    </w:rPr>
                    <m:t>l</m:t>
                  </m:r>
                </m:e>
                <m:sup>
                  <m:r>
                    <m:rPr>
                      <m:sty m:val="bi"/>
                    </m:rPr>
                    <w:rPr>
                      <w:rFonts w:ascii="Cambria Math" w:hAnsi="Cambria Math"/>
                    </w:rPr>
                    <m:t>2</m:t>
                  </m:r>
                </m:sup>
              </m:sSup>
            </m:den>
          </m:f>
          <m:r>
            <w:rPr>
              <w:rFonts w:ascii="Cambria Math" w:hAnsi="Cambria Math"/>
            </w:rPr>
            <m:t>=</m:t>
          </m:r>
          <m:r>
            <m:rPr>
              <m:sty m:val="bi"/>
            </m:rPr>
            <w:rPr>
              <w:rFonts w:ascii="Cambria Math" w:hAnsi="Cambria Math"/>
            </w:rPr>
            <m:t>H</m:t>
          </m:r>
        </m:oMath>
      </m:oMathPara>
    </w:p>
    <w:p w14:paraId="5D9D54E9" w14:textId="0B0F3EB5" w:rsidR="00E7624C" w:rsidRPr="00FF4D88" w:rsidRDefault="00E7624C" w:rsidP="00910D87">
      <w:pPr>
        <w:rPr>
          <w:rFonts w:eastAsiaTheme="minorEastAsia"/>
        </w:rPr>
      </w:pPr>
      <w:r>
        <w:rPr>
          <w:rFonts w:eastAsiaTheme="minorEastAsia"/>
        </w:rPr>
        <w:t xml:space="preserve">Utilizando GeoGebra podemos representar dichas relaciones funcionales. Para ello, atribuiremos un valor para </w:t>
      </w:r>
      <w:r w:rsidRPr="0000577E">
        <w:rPr>
          <w:rFonts w:eastAsiaTheme="minorEastAsia"/>
          <w:b/>
          <w:bCs/>
          <w:i/>
          <w:iCs/>
        </w:rPr>
        <w:t>V</w:t>
      </w:r>
      <w:r>
        <w:rPr>
          <w:rFonts w:eastAsiaTheme="minorEastAsia"/>
        </w:rPr>
        <w:t>, mediante un deslizador con valores, entre 0 y 1000 cm</w:t>
      </w:r>
      <w:r w:rsidRPr="007C2F13">
        <w:rPr>
          <w:rFonts w:eastAsiaTheme="minorEastAsia"/>
          <w:vertAlign w:val="superscript"/>
        </w:rPr>
        <w:t>3</w:t>
      </w:r>
      <w:r>
        <w:rPr>
          <w:rFonts w:eastAsiaTheme="minorEastAsia"/>
        </w:rPr>
        <w:t xml:space="preserve">. Con lo cual, veremos; en el primer caso, cómo varía </w:t>
      </w:r>
      <w:r w:rsidRPr="00083EAA">
        <w:rPr>
          <w:rFonts w:eastAsiaTheme="minorEastAsia"/>
          <w:b/>
          <w:bCs/>
          <w:i/>
          <w:iCs/>
        </w:rPr>
        <w:t>l</w:t>
      </w:r>
      <w:r>
        <w:rPr>
          <w:rFonts w:eastAsiaTheme="minorEastAsia"/>
        </w:rPr>
        <w:t xml:space="preserve"> cuando variamos </w:t>
      </w:r>
      <w:r w:rsidRPr="00083EAA">
        <w:rPr>
          <w:rFonts w:eastAsiaTheme="minorEastAsia"/>
          <w:b/>
          <w:bCs/>
          <w:i/>
          <w:iCs/>
        </w:rPr>
        <w:t>H</w:t>
      </w:r>
      <w:r>
        <w:rPr>
          <w:rFonts w:eastAsiaTheme="minorEastAsia"/>
        </w:rPr>
        <w:t xml:space="preserve"> y fijamos su volumen; y en el segundo caso, cómo varía </w:t>
      </w:r>
      <w:r w:rsidRPr="00083EAA">
        <w:rPr>
          <w:rFonts w:eastAsiaTheme="minorEastAsia"/>
          <w:b/>
          <w:bCs/>
          <w:i/>
          <w:iCs/>
        </w:rPr>
        <w:t>H</w:t>
      </w:r>
      <w:r>
        <w:rPr>
          <w:rFonts w:eastAsiaTheme="minorEastAsia"/>
        </w:rPr>
        <w:t xml:space="preserve"> cuando variamos </w:t>
      </w:r>
      <w:r w:rsidRPr="00083EAA">
        <w:rPr>
          <w:rFonts w:eastAsiaTheme="minorEastAsia"/>
          <w:b/>
          <w:bCs/>
          <w:i/>
          <w:iCs/>
        </w:rPr>
        <w:t>l</w:t>
      </w:r>
      <w:r>
        <w:rPr>
          <w:rFonts w:eastAsiaTheme="minorEastAsia"/>
        </w:rPr>
        <w:t xml:space="preserve"> y fijamos su volumen. Así, en el primer caso, para un volumen </w:t>
      </w:r>
      <w:r w:rsidRPr="006E5E5E">
        <w:rPr>
          <w:rFonts w:eastAsiaTheme="minorEastAsia"/>
          <w:b/>
          <w:bCs/>
          <w:i/>
          <w:iCs/>
        </w:rPr>
        <w:t>V</w:t>
      </w:r>
      <w:r>
        <w:rPr>
          <w:rFonts w:eastAsiaTheme="minorEastAsia"/>
        </w:rPr>
        <w:t> = 1000 cm</w:t>
      </w:r>
      <w:r w:rsidRPr="00B428B5">
        <w:rPr>
          <w:rFonts w:eastAsiaTheme="minorEastAsia"/>
          <w:vertAlign w:val="superscript"/>
        </w:rPr>
        <w:t>3</w:t>
      </w:r>
      <w:r>
        <w:rPr>
          <w:rFonts w:eastAsiaTheme="minorEastAsia"/>
        </w:rPr>
        <w:t xml:space="preserve">, cuando </w:t>
      </w:r>
      <w:r w:rsidRPr="006E5E5E">
        <w:rPr>
          <w:rFonts w:eastAsiaTheme="minorEastAsia"/>
          <w:b/>
          <w:bCs/>
          <w:i/>
          <w:iCs/>
        </w:rPr>
        <w:t>H</w:t>
      </w:r>
      <w:r>
        <w:rPr>
          <w:rFonts w:eastAsiaTheme="minorEastAsia"/>
          <w:i/>
          <w:iCs/>
        </w:rPr>
        <w:t>=30</w:t>
      </w:r>
      <w:r>
        <w:rPr>
          <w:rFonts w:eastAsiaTheme="minorEastAsia"/>
        </w:rPr>
        <w:t xml:space="preserve">, </w:t>
      </w:r>
      <w:r w:rsidRPr="006E5E5E">
        <w:rPr>
          <w:rFonts w:eastAsiaTheme="minorEastAsia"/>
          <w:b/>
          <w:bCs/>
          <w:i/>
          <w:iCs/>
        </w:rPr>
        <w:t>l</w:t>
      </w:r>
      <w:r>
        <w:rPr>
          <w:rFonts w:eastAsiaTheme="minorEastAsia" w:cs="Times New Roman"/>
          <w:i/>
          <w:iCs/>
        </w:rPr>
        <w:t>≈</w:t>
      </w:r>
      <w:r>
        <w:rPr>
          <w:rFonts w:eastAsiaTheme="minorEastAsia"/>
          <w:i/>
          <w:iCs/>
        </w:rPr>
        <w:t>7,624</w:t>
      </w:r>
      <w:r>
        <w:rPr>
          <w:rFonts w:eastAsiaTheme="minorEastAsia"/>
        </w:rPr>
        <w:t xml:space="preserve"> cm</w:t>
      </w:r>
      <w:r w:rsidR="00786565">
        <w:rPr>
          <w:rFonts w:eastAsiaTheme="minorEastAsia"/>
        </w:rPr>
        <w:t xml:space="preserve"> (</w:t>
      </w:r>
      <w:r w:rsidR="00786565" w:rsidRPr="00786565">
        <w:rPr>
          <w:rFonts w:eastAsiaTheme="minorEastAsia"/>
        </w:rPr>
        <w:fldChar w:fldCharType="begin"/>
      </w:r>
      <w:r w:rsidR="00786565" w:rsidRPr="00786565">
        <w:rPr>
          <w:rFonts w:eastAsiaTheme="minorEastAsia"/>
        </w:rPr>
        <w:instrText xml:space="preserve"> REF _Ref102819213 \h  \* MERGEFORMAT </w:instrText>
      </w:r>
      <w:r w:rsidR="00786565" w:rsidRPr="00786565">
        <w:rPr>
          <w:rFonts w:eastAsiaTheme="minorEastAsia"/>
        </w:rPr>
      </w:r>
      <w:r w:rsidR="00786565" w:rsidRPr="00786565">
        <w:rPr>
          <w:rFonts w:eastAsiaTheme="minorEastAsia"/>
        </w:rPr>
        <w:fldChar w:fldCharType="separate"/>
      </w:r>
      <w:r w:rsidR="00786565" w:rsidRPr="00786565">
        <w:t xml:space="preserve">Figura </w:t>
      </w:r>
      <w:r w:rsidR="00786565" w:rsidRPr="00786565">
        <w:rPr>
          <w:noProof/>
        </w:rPr>
        <w:t>17</w:t>
      </w:r>
      <w:r w:rsidR="00786565" w:rsidRPr="00786565">
        <w:rPr>
          <w:rFonts w:eastAsiaTheme="minorEastAsia"/>
        </w:rPr>
        <w:fldChar w:fldCharType="end"/>
      </w:r>
      <w:r w:rsidR="00786565">
        <w:rPr>
          <w:rFonts w:eastAsiaTheme="minorEastAsia"/>
        </w:rPr>
        <w:t>)</w:t>
      </w:r>
      <w:r>
        <w:rPr>
          <w:rFonts w:eastAsiaTheme="minorEastAsia"/>
        </w:rPr>
        <w:t>.</w:t>
      </w:r>
    </w:p>
    <w:p w14:paraId="2CA39A0C" w14:textId="461893A0" w:rsidR="00BC1488" w:rsidRPr="00BC1488" w:rsidRDefault="00BC1488" w:rsidP="00BC1488">
      <w:pPr>
        <w:pStyle w:val="Legenda"/>
        <w:rPr>
          <w:b/>
          <w:bCs/>
        </w:rPr>
      </w:pPr>
      <w:bookmarkStart w:id="21" w:name="_Ref102819213"/>
      <w:r w:rsidRPr="00BC1488">
        <w:rPr>
          <w:b/>
          <w:bCs/>
        </w:rPr>
        <w:t xml:space="preserve">Figura </w:t>
      </w:r>
      <w:r w:rsidRPr="00BC1488">
        <w:rPr>
          <w:b/>
          <w:bCs/>
        </w:rPr>
        <w:fldChar w:fldCharType="begin"/>
      </w:r>
      <w:r w:rsidRPr="00BC1488">
        <w:rPr>
          <w:b/>
          <w:bCs/>
        </w:rPr>
        <w:instrText xml:space="preserve"> SEQ Figura \* ARABIC </w:instrText>
      </w:r>
      <w:r w:rsidRPr="00BC1488">
        <w:rPr>
          <w:b/>
          <w:bCs/>
        </w:rPr>
        <w:fldChar w:fldCharType="separate"/>
      </w:r>
      <w:r w:rsidR="001F1E38">
        <w:rPr>
          <w:b/>
          <w:bCs/>
          <w:noProof/>
        </w:rPr>
        <w:t>17</w:t>
      </w:r>
      <w:r w:rsidRPr="00BC1488">
        <w:rPr>
          <w:b/>
          <w:bCs/>
        </w:rPr>
        <w:fldChar w:fldCharType="end"/>
      </w:r>
      <w:bookmarkEnd w:id="21"/>
      <w:r w:rsidRPr="00BC1488">
        <w:rPr>
          <w:b/>
          <w:bCs/>
        </w:rPr>
        <w:t>.</w:t>
      </w:r>
    </w:p>
    <w:p w14:paraId="4A267E26" w14:textId="50BAE302" w:rsidR="00BC1488" w:rsidRPr="00BC1488" w:rsidRDefault="00BC1488" w:rsidP="00BC1488">
      <w:pPr>
        <w:pStyle w:val="Legenda"/>
      </w:pPr>
      <w:r w:rsidRPr="00564E0D">
        <w:rPr>
          <w:sz w:val="20"/>
          <w:szCs w:val="20"/>
        </w:rPr>
        <w:t>Gráfica para el primer caso de la pirámide recta pentagonal regular</w:t>
      </w:r>
    </w:p>
    <w:p w14:paraId="32262595" w14:textId="77777777" w:rsidR="00BC1488" w:rsidRDefault="00BC1488" w:rsidP="00BC1488">
      <w:pPr>
        <w:ind w:firstLine="0"/>
        <w:jc w:val="center"/>
        <w:rPr>
          <w:rFonts w:eastAsiaTheme="minorEastAsia"/>
        </w:rPr>
      </w:pPr>
      <w:r>
        <w:rPr>
          <w:noProof/>
          <w:lang w:val="pt-BR" w:eastAsia="pt-BR" w:bidi="ar-SA"/>
        </w:rPr>
        <w:drawing>
          <wp:inline distT="0" distB="0" distL="0" distR="0" wp14:anchorId="3777C393" wp14:editId="38A9DBE5">
            <wp:extent cx="3600000" cy="2027495"/>
            <wp:effectExtent l="0" t="0" r="0" b="0"/>
            <wp:docPr id="5" name="Imagen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con confianza ba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027495"/>
                    </a:xfrm>
                    <a:prstGeom prst="rect">
                      <a:avLst/>
                    </a:prstGeom>
                    <a:noFill/>
                    <a:ln>
                      <a:noFill/>
                    </a:ln>
                  </pic:spPr>
                </pic:pic>
              </a:graphicData>
            </a:graphic>
          </wp:inline>
        </w:drawing>
      </w:r>
    </w:p>
    <w:p w14:paraId="50C685FA" w14:textId="2124C975" w:rsidR="00BC1488" w:rsidRDefault="00BC1488" w:rsidP="001F1E38">
      <w:r>
        <w:t xml:space="preserve">En el segundo caso, para un volumen </w:t>
      </w:r>
      <w:r w:rsidRPr="006E5E5E">
        <w:rPr>
          <w:b/>
          <w:bCs/>
          <w:i/>
          <w:iCs/>
        </w:rPr>
        <w:t>V</w:t>
      </w:r>
      <w:r>
        <w:t> = 800 cm</w:t>
      </w:r>
      <w:r w:rsidRPr="00B428B5">
        <w:rPr>
          <w:vertAlign w:val="superscript"/>
        </w:rPr>
        <w:t>3</w:t>
      </w:r>
      <w:r>
        <w:t xml:space="preserve">, cuando </w:t>
      </w:r>
      <w:r w:rsidRPr="006E5E5E">
        <w:rPr>
          <w:b/>
          <w:bCs/>
          <w:i/>
          <w:iCs/>
        </w:rPr>
        <w:t>l</w:t>
      </w:r>
      <w:r>
        <w:rPr>
          <w:b/>
          <w:bCs/>
          <w:i/>
          <w:iCs/>
        </w:rPr>
        <w:t> </w:t>
      </w:r>
      <w:r>
        <w:rPr>
          <w:i/>
          <w:iCs/>
        </w:rPr>
        <w:t>= </w:t>
      </w:r>
      <w:r w:rsidRPr="006E5E5E">
        <w:t>10,3</w:t>
      </w:r>
      <w:r>
        <w:t xml:space="preserve">, </w:t>
      </w:r>
      <w:r w:rsidRPr="006E5E5E">
        <w:rPr>
          <w:b/>
          <w:bCs/>
          <w:i/>
          <w:iCs/>
        </w:rPr>
        <w:t>H</w:t>
      </w:r>
      <w:r>
        <w:rPr>
          <w:b/>
          <w:bCs/>
          <w:i/>
          <w:iCs/>
        </w:rPr>
        <w:t> </w:t>
      </w:r>
      <w:r>
        <w:rPr>
          <w:rFonts w:cs="Times New Roman"/>
          <w:i/>
          <w:iCs/>
        </w:rPr>
        <w:t>≈ </w:t>
      </w:r>
      <w:r w:rsidRPr="006E5E5E">
        <w:t>13,149</w:t>
      </w:r>
      <w:r>
        <w:t xml:space="preserve"> cm</w:t>
      </w:r>
      <w:r w:rsidR="001F1E38">
        <w:t xml:space="preserve"> </w:t>
      </w:r>
      <w:r>
        <w:t>(</w:t>
      </w:r>
      <w:r w:rsidR="000E6589" w:rsidRPr="000E6589">
        <w:fldChar w:fldCharType="begin"/>
      </w:r>
      <w:r w:rsidR="000E6589" w:rsidRPr="000E6589">
        <w:instrText xml:space="preserve"> REF _Ref102819279 \h  \* MERGEFORMAT </w:instrText>
      </w:r>
      <w:r w:rsidR="000E6589" w:rsidRPr="000E6589">
        <w:fldChar w:fldCharType="separate"/>
      </w:r>
      <w:r w:rsidR="000E6589" w:rsidRPr="000E6589">
        <w:t xml:space="preserve">Figura </w:t>
      </w:r>
      <w:r w:rsidR="000E6589" w:rsidRPr="000E6589">
        <w:rPr>
          <w:noProof/>
        </w:rPr>
        <w:t>18</w:t>
      </w:r>
      <w:r w:rsidR="000E6589" w:rsidRPr="000E6589">
        <w:fldChar w:fldCharType="end"/>
      </w:r>
      <w:r>
        <w:t>).</w:t>
      </w:r>
    </w:p>
    <w:p w14:paraId="030127AD" w14:textId="77777777" w:rsidR="001F1E38" w:rsidRPr="001F1E38" w:rsidRDefault="001F1E38" w:rsidP="001F1E38">
      <w:pPr>
        <w:pStyle w:val="Legenda"/>
        <w:rPr>
          <w:b/>
          <w:bCs/>
        </w:rPr>
      </w:pPr>
      <w:bookmarkStart w:id="22" w:name="_Ref102819279"/>
      <w:r w:rsidRPr="001F1E38">
        <w:rPr>
          <w:b/>
          <w:bCs/>
        </w:rPr>
        <w:lastRenderedPageBreak/>
        <w:t xml:space="preserve">Figura </w:t>
      </w:r>
      <w:r w:rsidRPr="001F1E38">
        <w:rPr>
          <w:b/>
          <w:bCs/>
        </w:rPr>
        <w:fldChar w:fldCharType="begin"/>
      </w:r>
      <w:r w:rsidRPr="001F1E38">
        <w:rPr>
          <w:b/>
          <w:bCs/>
        </w:rPr>
        <w:instrText xml:space="preserve"> SEQ Figura \* ARABIC </w:instrText>
      </w:r>
      <w:r w:rsidRPr="001F1E38">
        <w:rPr>
          <w:b/>
          <w:bCs/>
        </w:rPr>
        <w:fldChar w:fldCharType="separate"/>
      </w:r>
      <w:r w:rsidRPr="001F1E38">
        <w:rPr>
          <w:b/>
          <w:bCs/>
          <w:noProof/>
        </w:rPr>
        <w:t>18</w:t>
      </w:r>
      <w:r w:rsidRPr="001F1E38">
        <w:rPr>
          <w:b/>
          <w:bCs/>
        </w:rPr>
        <w:fldChar w:fldCharType="end"/>
      </w:r>
      <w:bookmarkEnd w:id="22"/>
      <w:r w:rsidRPr="001F1E38">
        <w:rPr>
          <w:b/>
          <w:bCs/>
        </w:rPr>
        <w:t>.</w:t>
      </w:r>
    </w:p>
    <w:p w14:paraId="559E67FB" w14:textId="71CDE618" w:rsidR="001F1E38" w:rsidRDefault="001F1E38" w:rsidP="001F1E38">
      <w:pPr>
        <w:pStyle w:val="Legenda"/>
      </w:pPr>
      <w:r w:rsidRPr="00D7137A">
        <w:rPr>
          <w:sz w:val="20"/>
          <w:szCs w:val="20"/>
        </w:rPr>
        <w:t>Gráfica para el segundo caso de la pirámide recta pentagonal regular</w:t>
      </w:r>
    </w:p>
    <w:p w14:paraId="6B0EA45B" w14:textId="77777777" w:rsidR="00BC1488" w:rsidRPr="00FF4D88" w:rsidRDefault="00BC1488" w:rsidP="00BC1488">
      <w:pPr>
        <w:jc w:val="center"/>
        <w:rPr>
          <w:rFonts w:eastAsiaTheme="minorEastAsia"/>
        </w:rPr>
      </w:pPr>
      <w:r>
        <w:rPr>
          <w:rFonts w:eastAsiaTheme="minorEastAsia"/>
          <w:noProof/>
          <w:lang w:val="pt-BR" w:eastAsia="pt-BR" w:bidi="ar-SA"/>
        </w:rPr>
        <w:drawing>
          <wp:inline distT="0" distB="0" distL="0" distR="0" wp14:anchorId="18CDD835" wp14:editId="7946B8A8">
            <wp:extent cx="3600000" cy="2027494"/>
            <wp:effectExtent l="0" t="0" r="0" b="0"/>
            <wp:docPr id="6" name="Imagen 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027494"/>
                    </a:xfrm>
                    <a:prstGeom prst="rect">
                      <a:avLst/>
                    </a:prstGeom>
                    <a:noFill/>
                    <a:ln>
                      <a:noFill/>
                    </a:ln>
                  </pic:spPr>
                </pic:pic>
              </a:graphicData>
            </a:graphic>
          </wp:inline>
        </w:drawing>
      </w:r>
    </w:p>
    <w:p w14:paraId="1DA923C8" w14:textId="77777777" w:rsidR="00BC1488" w:rsidRPr="00080B56" w:rsidRDefault="00BC1488" w:rsidP="00E33D9C">
      <w:r>
        <w:rPr>
          <w:lang w:val="es-ES_tradnl"/>
        </w:rPr>
        <w:t xml:space="preserve">Tenemos que resaltar que </w:t>
      </w:r>
      <w:r>
        <w:rPr>
          <w:b/>
          <w:bCs/>
          <w:i/>
          <w:iCs/>
        </w:rPr>
        <w:t>t</w:t>
      </w:r>
      <w:r w:rsidRPr="00381DC3">
        <w:rPr>
          <w:vertAlign w:val="subscript"/>
        </w:rPr>
        <w:t>311</w:t>
      </w:r>
      <w:r>
        <w:rPr>
          <w:lang w:val="es-ES_tradnl"/>
        </w:rPr>
        <w:t xml:space="preserve"> es una tarea inversa y abierta, lo que provoca que las f</w:t>
      </w:r>
      <w:r w:rsidRPr="00080B56">
        <w:rPr>
          <w:lang w:val="es-ES_tradnl"/>
        </w:rPr>
        <w:t xml:space="preserve">órmulas </w:t>
      </w:r>
      <w:r w:rsidRPr="00080B56">
        <w:t>del cálculo de volumen sean tratadas como modelos algebraicos o funcionales, Ello va a facilitar, con ayuda de GeoGebra, poder considerar las diferentes soluciones posibles.</w:t>
      </w:r>
    </w:p>
    <w:p w14:paraId="7CCE72F0" w14:textId="77777777" w:rsidR="00BC1488" w:rsidRPr="00080B56" w:rsidRDefault="00BC1488" w:rsidP="00E33D9C">
      <w:r w:rsidRPr="00080B56">
        <w:rPr>
          <w:lang w:val="es-ES_tradnl"/>
        </w:rPr>
        <w:t>Hasta aquí hemos desarrollado un MER sobre la problemática que presenta la determinación y construcción de sólidos. Como todo MER</w:t>
      </w:r>
      <w:r w:rsidRPr="00080B56">
        <w:t xml:space="preserve"> construido tiene un carácter provisional y pendiente de posibles modificaciones permanentes, ya que pueden aparecer nuevas cuestiones cuya respuesta permitirá ampliar y completa dicha problemática</w:t>
      </w:r>
    </w:p>
    <w:p w14:paraId="171C65BD" w14:textId="6B290242" w:rsidR="00BC1488" w:rsidRDefault="00BC1488" w:rsidP="00E33D9C">
      <w:r w:rsidRPr="00080B56">
        <w:t>El proceso seguido se ha fundamentado en resolver una problemática espacio-geométrica en torno a la determinación y construcción de sólidos, partiendo de un sistema donde se presenta un tipo de problema espacial sobre el diseño y construcción de un envase con un volumen predeterminado. Para responder a dicha problemática se elabora un modelo matemático que representa dicho sistema donde se emplean elementos geométricos y también otros elementos matemáticos (aritméticos, algebraicos, funcionales), Tratamos de proponer un estudio de la geometría elemental como modelo del espacio (</w:t>
      </w:r>
      <w:proofErr w:type="spellStart"/>
      <w:r w:rsidRPr="00080B56">
        <w:t>Berthelot</w:t>
      </w:r>
      <w:proofErr w:type="spellEnd"/>
      <w:r w:rsidRPr="00080B56">
        <w:t xml:space="preserve"> y </w:t>
      </w:r>
      <w:proofErr w:type="spellStart"/>
      <w:r w:rsidRPr="00080B56">
        <w:t>Salin</w:t>
      </w:r>
      <w:proofErr w:type="spellEnd"/>
      <w:r w:rsidRPr="00080B56">
        <w:t xml:space="preserve">, 2001), donde las </w:t>
      </w:r>
      <w:r w:rsidRPr="00080B56">
        <w:rPr>
          <w:i/>
          <w:iCs/>
        </w:rPr>
        <w:t xml:space="preserve">situaciones </w:t>
      </w:r>
      <w:proofErr w:type="spellStart"/>
      <w:r w:rsidRPr="00080B56">
        <w:rPr>
          <w:i/>
          <w:iCs/>
        </w:rPr>
        <w:t>adidácticas</w:t>
      </w:r>
      <w:proofErr w:type="spellEnd"/>
      <w:r w:rsidRPr="00080B56">
        <w:t xml:space="preserve"> en torno a la determinación y construcción de sólidos van a permitir la elaboración de los conocimientos geométricos.</w:t>
      </w:r>
    </w:p>
    <w:p w14:paraId="1F4880E2" w14:textId="77777777" w:rsidR="0069488F" w:rsidRPr="00080B56" w:rsidRDefault="0069488F" w:rsidP="00E33D9C">
      <w:pPr>
        <w:rPr>
          <w:sz w:val="23"/>
          <w:szCs w:val="23"/>
        </w:rPr>
      </w:pPr>
    </w:p>
    <w:p w14:paraId="311627E6" w14:textId="4B52FD31" w:rsidR="00E33D9C" w:rsidRPr="00080B56" w:rsidRDefault="003C763D" w:rsidP="00E33D9C">
      <w:pPr>
        <w:pStyle w:val="Ttulo1"/>
      </w:pPr>
      <w:r w:rsidRPr="00080B56">
        <w:lastRenderedPageBreak/>
        <w:t>CONCLUSIONES: ALGUNAS FUNCIONES EPISTEMOLÓGICAS Y DIDÁCTICAS DEL MER CONSTRUIDO</w:t>
      </w:r>
      <w:r w:rsidR="00E33D9C" w:rsidRPr="00080B56">
        <w:tab/>
      </w:r>
    </w:p>
    <w:p w14:paraId="3A05688A" w14:textId="2FD25367" w:rsidR="00E33D9C" w:rsidRPr="00080B56" w:rsidRDefault="00E33D9C" w:rsidP="003C763D">
      <w:pPr>
        <w:rPr>
          <w:lang w:val="es-ES_tradnl"/>
        </w:rPr>
      </w:pPr>
      <w:r w:rsidRPr="00080B56">
        <w:rPr>
          <w:lang w:val="es-ES_tradnl"/>
        </w:rPr>
        <w:t xml:space="preserve">El MER elaborado contiene algunas de las cuestiones (y las tareas asociadas) relativas a la </w:t>
      </w:r>
      <w:r w:rsidRPr="00080B56">
        <w:rPr>
          <w:i/>
          <w:iCs/>
          <w:lang w:val="es-ES_tradnl"/>
        </w:rPr>
        <w:t>problemática de la modelización espacio-geométrica</w:t>
      </w:r>
      <w:r w:rsidR="003C763D">
        <w:rPr>
          <w:lang w:val="es-ES_tradnl"/>
        </w:rPr>
        <w:t>,</w:t>
      </w:r>
      <w:r w:rsidRPr="00080B56">
        <w:rPr>
          <w:lang w:val="es-ES_tradnl"/>
        </w:rPr>
        <w:t xml:space="preserve"> que consideramos como la problemática de iniciación a la geometría en la enseñanza secundaria. En consecuencia, el MER construido subraya el </w:t>
      </w:r>
      <w:r w:rsidRPr="00080B56">
        <w:rPr>
          <w:i/>
          <w:iCs/>
          <w:lang w:val="es-ES_tradnl"/>
        </w:rPr>
        <w:t>carácter experimental</w:t>
      </w:r>
      <w:r w:rsidRPr="00080B56">
        <w:rPr>
          <w:lang w:val="es-ES_tradnl"/>
        </w:rPr>
        <w:t xml:space="preserve"> de la geometría y, muy especialmente (pero no únicamente) de la iniciación al estudio de la geometría.     </w:t>
      </w:r>
    </w:p>
    <w:p w14:paraId="7C8842A2" w14:textId="40F5C6A4" w:rsidR="00E33D9C" w:rsidRPr="00080B56" w:rsidRDefault="00E33D9C" w:rsidP="003C763D">
      <w:pPr>
        <w:rPr>
          <w:lang w:val="es-ES_tradnl"/>
        </w:rPr>
      </w:pPr>
      <w:r w:rsidRPr="00080B56">
        <w:rPr>
          <w:lang w:val="es-ES_tradnl"/>
        </w:rPr>
        <w:t xml:space="preserve">Se proponen tareas abiertas e inversas planteadas en el espacio sensible y su resolución facilita que surjan modelos matemáticos de todo tipo, </w:t>
      </w:r>
      <w:r w:rsidR="003C763D" w:rsidRPr="00080B56">
        <w:rPr>
          <w:lang w:val="es-ES_tradnl"/>
        </w:rPr>
        <w:t>que,</w:t>
      </w:r>
      <w:r w:rsidRPr="00080B56">
        <w:rPr>
          <w:lang w:val="es-ES_tradnl"/>
        </w:rPr>
        <w:t xml:space="preserve"> con herramientas como GeoGebra, ayudan a resolverlas. Por tanto, se enfatiza, también en el caso de la geometría, la identificación que propone la TAD entre actividad matemática y actividad de modelización, propugnando que la actividad de estudio, en el caso de la geometría, comporta necesariamente una actividad de modelización.   </w:t>
      </w:r>
    </w:p>
    <w:p w14:paraId="12712C27" w14:textId="77777777" w:rsidR="00E33D9C" w:rsidRPr="00080B56" w:rsidRDefault="00E33D9C" w:rsidP="003C763D">
      <w:r w:rsidRPr="00080B56">
        <w:rPr>
          <w:lang w:val="es-ES_tradnl"/>
        </w:rPr>
        <w:t xml:space="preserve">El MER se convierte en una herramienta valiosa para que el profesor, como director de procesos de estudio, pueda orientar el diseño de sus propuestas didácticas sobre geometría 3D para conseguir </w:t>
      </w:r>
      <w:r w:rsidRPr="00080B56">
        <w:t>que los estudiantes construyan nuevas técnicas geométricas, cuestionen su validez, interpreten las fórmulas geométricas como modelos algebraico-funcionales y, en consecuencia, lleven a cabo una genuina actividad de modelización</w:t>
      </w:r>
      <w:r w:rsidRPr="00080B56">
        <w:rPr>
          <w:lang w:val="es-ES_tradnl"/>
        </w:rPr>
        <w:t>.</w:t>
      </w:r>
      <w:r w:rsidRPr="00080B56">
        <w:t xml:space="preserve"> Servirá de referencia y fundamento para diseñar, experimentar y analizar diferentes REI en la ESO y para estudiar las posibles condiciones y restricciones que se pueden presentar en su implementación. En definitiva, el MER permite sustentar procesos de estudio con fines educativos predeterminados sin que esto presuponga que el recorrido concreto que deberá recorrer la comunidad de estudio para alcanzar dichos fines esté prefijado de antemano.     </w:t>
      </w:r>
    </w:p>
    <w:p w14:paraId="1AB78BD8" w14:textId="77777777" w:rsidR="00E33D9C" w:rsidRPr="00080B56" w:rsidRDefault="00E33D9C" w:rsidP="003C763D">
      <w:r w:rsidRPr="00080B56">
        <w:t xml:space="preserve">Como se ha mostrado en el desarrollo del MER, la problemática estudiada sobre la </w:t>
      </w:r>
      <w:r w:rsidRPr="00080B56">
        <w:rPr>
          <w:i/>
          <w:iCs/>
        </w:rPr>
        <w:t>determinación y construcción de sólidos</w:t>
      </w:r>
      <w:r w:rsidRPr="00080B56">
        <w:t xml:space="preserve"> puede ayudar a articular el estudio de las geometrías 2D y 3D y permite relacionar diversos ámbitos de las matemáticas y de otras disciplinas como el estudio de la geometría con el del álgebra y las funciones y con el estudio de otras disciplinas como la química, la economía, etc. El MER desarrollado propone el uso de GeoGebra como un instrumento adecuado para llevar a cabo de manera eficaz experiencias gráficas que facilitan el estudio de las propiedades de los sólidos a partir de la elaboración de un envase predeterminado. El </w:t>
      </w:r>
      <w:r w:rsidRPr="00080B56">
        <w:lastRenderedPageBreak/>
        <w:t xml:space="preserve">empleo de GeoGebra para responder a la problemática planteada permite también relacionar las técnicas sintéticas con las técnicas analíticas de determinación y construcción de sólidos. </w:t>
      </w:r>
    </w:p>
    <w:p w14:paraId="0E7C8F60" w14:textId="77777777" w:rsidR="00E33D9C" w:rsidRPr="00080B56" w:rsidRDefault="00E33D9C" w:rsidP="003C763D">
      <w:pPr>
        <w:rPr>
          <w:sz w:val="24"/>
        </w:rPr>
      </w:pPr>
      <w:r w:rsidRPr="00080B56">
        <w:t xml:space="preserve">Otra función epistemológico-didáctica del MER consiste en poner de manifiesto características del modelo epistemológico dominante en las instituciones escolares (como la desarticulación de las geometrías 2D y 3D, el aislamiento de la geometría con respecto al álgebra y las técnicas funcionales, y la separación entre las técnicas sintéticas y las analíticas) que constituyen indicios de fenómenos didácticos que consideramos “indeseables” desde la perspectiva que proporcionan los postulados de la TAD y que, en consecuencia, pretendemos soslayar.   </w:t>
      </w:r>
    </w:p>
    <w:p w14:paraId="5B95084D" w14:textId="77777777" w:rsidR="00E33D9C" w:rsidRDefault="00E33D9C" w:rsidP="003C763D">
      <w:r w:rsidRPr="00080B56">
        <w:t>La elaboración de este MER también dota al investigador de un instrumento para cuestionar el modelo epistemológico dominante de la enseñanza de geometría en la ESO a través del análisis de los documentos curriculares oficiales y de los textos escolares. De esta manera podemos considerar que el MER constituye un instrumento de emancipación del didacta con respecto a los condicionantes que conlleva el modelo epistemológico dominante (Gascón, 2014).</w:t>
      </w:r>
      <w:r>
        <w:t xml:space="preserve">  </w:t>
      </w:r>
    </w:p>
    <w:p w14:paraId="599E0351" w14:textId="16660576" w:rsidR="57A38557" w:rsidRPr="001A3ECC" w:rsidRDefault="57A38557" w:rsidP="001A3ECC">
      <w:pPr>
        <w:rPr>
          <w:rFonts w:eastAsia="Times New Roman" w:cs="Times New Roman"/>
          <w:szCs w:val="22"/>
          <w:lang w:val="la"/>
        </w:rPr>
      </w:pPr>
    </w:p>
    <w:p w14:paraId="78EED0B0" w14:textId="180F83FF" w:rsidR="57A38557" w:rsidRPr="001A3ECC" w:rsidRDefault="00AD7765" w:rsidP="00AD7765">
      <w:pPr>
        <w:pStyle w:val="Ttulo1"/>
        <w:rPr>
          <w:sz w:val="22"/>
          <w:szCs w:val="22"/>
        </w:rPr>
      </w:pPr>
      <w:r>
        <w:t xml:space="preserve">CONTRIBUCIONES </w:t>
      </w:r>
      <w:r w:rsidR="00161C55">
        <w:t>DE LOS AUTORES</w:t>
      </w:r>
    </w:p>
    <w:p w14:paraId="1DB56210" w14:textId="36398E83" w:rsidR="6BE161BA" w:rsidRPr="001A3ECC" w:rsidRDefault="007D26D3" w:rsidP="001A3ECC">
      <w:pPr>
        <w:rPr>
          <w:rFonts w:cs="Times New Roman"/>
          <w:b/>
          <w:bCs/>
          <w:szCs w:val="22"/>
        </w:rPr>
      </w:pPr>
      <w:r w:rsidRPr="007D26D3">
        <w:rPr>
          <w:rFonts w:eastAsia="Times New Roman" w:cs="Times New Roman"/>
          <w:szCs w:val="22"/>
          <w:lang w:val="es-CO"/>
        </w:rPr>
        <w:t>Todos lo</w:t>
      </w:r>
      <w:r>
        <w:rPr>
          <w:rFonts w:eastAsia="Times New Roman" w:cs="Times New Roman"/>
          <w:szCs w:val="22"/>
          <w:lang w:val="es-CO"/>
        </w:rPr>
        <w:t>s autores participaron en la escritura, revisión y aprobación de la versión final de este artículo.</w:t>
      </w:r>
    </w:p>
    <w:p w14:paraId="176EF817" w14:textId="156AE2DB" w:rsidR="57A38557" w:rsidRPr="001A3ECC" w:rsidRDefault="57A38557" w:rsidP="001A3ECC">
      <w:pPr>
        <w:rPr>
          <w:rFonts w:eastAsia="Times New Roman" w:cs="Times New Roman"/>
          <w:szCs w:val="22"/>
        </w:rPr>
      </w:pPr>
    </w:p>
    <w:p w14:paraId="311D58F8" w14:textId="63ECF640" w:rsidR="235DF6B6" w:rsidRPr="001A3ECC" w:rsidRDefault="008000B3" w:rsidP="00AD7765">
      <w:pPr>
        <w:pStyle w:val="Ttulo1"/>
        <w:rPr>
          <w:sz w:val="22"/>
          <w:szCs w:val="22"/>
        </w:rPr>
      </w:pPr>
      <w:r>
        <w:t>DECLARACIÓN DE DISPONIBILDAD DE DATOS</w:t>
      </w:r>
    </w:p>
    <w:p w14:paraId="77A10BAD" w14:textId="0238B46B" w:rsidR="235DF6B6" w:rsidRDefault="009E651B" w:rsidP="008000B3">
      <w:r>
        <w:t>Varios de los datos que respaldan</w:t>
      </w:r>
      <w:r w:rsidR="007F36CA">
        <w:t xml:space="preserve"> </w:t>
      </w:r>
      <w:r>
        <w:t>este estudio</w:t>
      </w:r>
      <w:r w:rsidR="00CE44DA">
        <w:t xml:space="preserve">, </w:t>
      </w:r>
      <w:r w:rsidR="006D46BF">
        <w:t xml:space="preserve">por ejemplo, </w:t>
      </w:r>
      <w:r w:rsidR="00CE44DA">
        <w:t>los derivados de los REI mencionados,</w:t>
      </w:r>
      <w:r>
        <w:t xml:space="preserve"> forman parte de </w:t>
      </w:r>
      <w:r w:rsidR="007F36CA">
        <w:t>trabajos previamente publicados</w:t>
      </w:r>
      <w:r w:rsidR="00CE44DA">
        <w:t>. Sin embargo, si fueren requeridos serán puestos a disposición por los autores, previa solicitud.</w:t>
      </w:r>
    </w:p>
    <w:p w14:paraId="546E28D0" w14:textId="77777777" w:rsidR="00113355" w:rsidRPr="00411407" w:rsidRDefault="00113355" w:rsidP="008000B3"/>
    <w:p w14:paraId="7A421D82" w14:textId="29F53F62" w:rsidR="235DF6B6" w:rsidRPr="00411407" w:rsidRDefault="7DE10795" w:rsidP="00161C55">
      <w:pPr>
        <w:pStyle w:val="Ttulo1"/>
      </w:pPr>
      <w:r w:rsidRPr="00411407">
        <w:t>REFERENC</w:t>
      </w:r>
      <w:r w:rsidR="00616698">
        <w:t>IAS</w:t>
      </w:r>
    </w:p>
    <w:p w14:paraId="07FF8042" w14:textId="77777777" w:rsidR="004C4D81" w:rsidRPr="00BA2300" w:rsidRDefault="004C4D81" w:rsidP="004C4D81">
      <w:pPr>
        <w:widowControl w:val="0"/>
        <w:autoSpaceDE w:val="0"/>
        <w:autoSpaceDN w:val="0"/>
        <w:adjustRightInd w:val="0"/>
        <w:ind w:left="480" w:hanging="480"/>
        <w:rPr>
          <w:rFonts w:cs="Times New Roman"/>
          <w:noProof/>
        </w:rPr>
      </w:pPr>
      <w:r>
        <w:fldChar w:fldCharType="begin" w:fldLock="1"/>
      </w:r>
      <w:r>
        <w:instrText xml:space="preserve">ADDIN Mendeley Bibliography CSL_BIBLIOGRAPHY </w:instrText>
      </w:r>
      <w:r>
        <w:fldChar w:fldCharType="separate"/>
      </w:r>
      <w:r w:rsidRPr="007D3CA5">
        <w:rPr>
          <w:rFonts w:cs="Times New Roman"/>
          <w:noProof/>
        </w:rPr>
        <w:t xml:space="preserve">Alcaide, F., Hernández, J., Serrano, E., Moreno, M., &amp; Pérez, A. (2016). </w:t>
      </w:r>
      <w:r w:rsidRPr="007D3CA5">
        <w:rPr>
          <w:rFonts w:cs="Times New Roman"/>
          <w:i/>
          <w:iCs/>
          <w:noProof/>
        </w:rPr>
        <w:t xml:space="preserve">Matemáticas orientadas a las enseñanzas académicas. </w:t>
      </w:r>
      <w:r w:rsidRPr="00C97796">
        <w:rPr>
          <w:rFonts w:cs="Times New Roman"/>
          <w:i/>
          <w:iCs/>
          <w:noProof/>
        </w:rPr>
        <w:t>3</w:t>
      </w:r>
      <w:r w:rsidRPr="00C97796">
        <w:rPr>
          <w:rFonts w:cs="Times New Roman"/>
          <w:i/>
          <w:iCs/>
          <w:noProof/>
          <w:vertAlign w:val="superscript"/>
        </w:rPr>
        <w:t>o</w:t>
      </w:r>
      <w:r w:rsidRPr="00C97796">
        <w:rPr>
          <w:rFonts w:cs="Times New Roman"/>
          <w:i/>
          <w:iCs/>
          <w:noProof/>
        </w:rPr>
        <w:t xml:space="preserve"> ESO</w:t>
      </w:r>
      <w:r w:rsidRPr="00C97796">
        <w:rPr>
          <w:rFonts w:cs="Times New Roman"/>
          <w:noProof/>
        </w:rPr>
        <w:t xml:space="preserve">. </w:t>
      </w:r>
      <w:r w:rsidRPr="00BA2300">
        <w:rPr>
          <w:rFonts w:cs="Times New Roman"/>
          <w:noProof/>
        </w:rPr>
        <w:t>SM Savia.</w:t>
      </w:r>
    </w:p>
    <w:p w14:paraId="6FE82BE8" w14:textId="77777777" w:rsidR="004C4D81" w:rsidRPr="005B7136" w:rsidRDefault="004C4D81" w:rsidP="004C4D81">
      <w:pPr>
        <w:widowControl w:val="0"/>
        <w:autoSpaceDE w:val="0"/>
        <w:autoSpaceDN w:val="0"/>
        <w:adjustRightInd w:val="0"/>
        <w:ind w:left="480" w:hanging="480"/>
        <w:rPr>
          <w:rFonts w:cs="Times New Roman"/>
          <w:noProof/>
          <w:lang w:val="fr-CA"/>
        </w:rPr>
      </w:pPr>
      <w:r w:rsidRPr="00BA2300">
        <w:rPr>
          <w:rFonts w:cs="Times New Roman"/>
          <w:noProof/>
          <w:lang w:val="en-US"/>
        </w:rPr>
        <w:lastRenderedPageBreak/>
        <w:t xml:space="preserve">Berthelot, R., &amp; Salin, M. H. (1992). </w:t>
      </w:r>
      <w:r w:rsidRPr="005B7136">
        <w:rPr>
          <w:rFonts w:cs="Times New Roman"/>
          <w:i/>
          <w:iCs/>
          <w:noProof/>
          <w:lang w:val="fr-CA"/>
        </w:rPr>
        <w:t>L’enseignement de l’espace et de la géométrie dans la scolarité obligatoire</w:t>
      </w:r>
      <w:r w:rsidRPr="005B7136">
        <w:rPr>
          <w:rFonts w:cs="Times New Roman"/>
          <w:noProof/>
          <w:lang w:val="fr-CA"/>
        </w:rPr>
        <w:t xml:space="preserve"> [Tesis doctoral, Université Sciences et Technologies - Bordeaux I]. https://tel.archives-ouvertes.fr/tel-00414065</w:t>
      </w:r>
    </w:p>
    <w:p w14:paraId="38E94B82" w14:textId="77777777" w:rsidR="004C4D81" w:rsidRPr="007D3CA5" w:rsidRDefault="004C4D81" w:rsidP="004C4D81">
      <w:pPr>
        <w:widowControl w:val="0"/>
        <w:autoSpaceDE w:val="0"/>
        <w:autoSpaceDN w:val="0"/>
        <w:adjustRightInd w:val="0"/>
        <w:ind w:left="480" w:hanging="480"/>
        <w:rPr>
          <w:rFonts w:cs="Times New Roman"/>
          <w:noProof/>
        </w:rPr>
      </w:pPr>
      <w:r w:rsidRPr="006642A8">
        <w:rPr>
          <w:rFonts w:cs="Times New Roman"/>
          <w:noProof/>
          <w:lang w:val="en-US"/>
        </w:rPr>
        <w:t xml:space="preserve">Berthelot, R., &amp; Salin, M. H. (2001). </w:t>
      </w:r>
      <w:r w:rsidRPr="005B7136">
        <w:rPr>
          <w:rFonts w:cs="Times New Roman"/>
          <w:noProof/>
          <w:lang w:val="fr-CA"/>
        </w:rPr>
        <w:t xml:space="preserve">L’enseignement de la géométrie au début du collège. Comment concevoir le passage de la géométrie du constat à la géométrie déductive? </w:t>
      </w:r>
      <w:r w:rsidRPr="007D3CA5">
        <w:rPr>
          <w:rFonts w:cs="Times New Roman"/>
          <w:i/>
          <w:iCs/>
          <w:noProof/>
        </w:rPr>
        <w:t>Petit x</w:t>
      </w:r>
      <w:r w:rsidRPr="007D3CA5">
        <w:rPr>
          <w:rFonts w:cs="Times New Roman"/>
          <w:noProof/>
        </w:rPr>
        <w:t xml:space="preserve">, </w:t>
      </w:r>
      <w:r w:rsidRPr="007D3CA5">
        <w:rPr>
          <w:rFonts w:cs="Times New Roman"/>
          <w:i/>
          <w:iCs/>
          <w:noProof/>
        </w:rPr>
        <w:t>56</w:t>
      </w:r>
      <w:r w:rsidRPr="007D3CA5">
        <w:rPr>
          <w:rFonts w:cs="Times New Roman"/>
          <w:noProof/>
        </w:rPr>
        <w:t>, 5-34.</w:t>
      </w:r>
    </w:p>
    <w:p w14:paraId="6902872D" w14:textId="77777777" w:rsidR="004C4D81" w:rsidRPr="007D3CA5" w:rsidRDefault="004C4D81" w:rsidP="004C4D81">
      <w:pPr>
        <w:widowControl w:val="0"/>
        <w:autoSpaceDE w:val="0"/>
        <w:autoSpaceDN w:val="0"/>
        <w:adjustRightInd w:val="0"/>
        <w:ind w:left="480" w:hanging="480"/>
        <w:rPr>
          <w:rFonts w:cs="Times New Roman"/>
          <w:noProof/>
        </w:rPr>
      </w:pPr>
      <w:r w:rsidRPr="007D3CA5">
        <w:rPr>
          <w:rFonts w:cs="Times New Roman"/>
          <w:noProof/>
        </w:rPr>
        <w:t xml:space="preserve">Bertomeu-Camós, M., &amp; Fortuny Cuadra, A. (2016). </w:t>
      </w:r>
      <w:r w:rsidRPr="007D3CA5">
        <w:rPr>
          <w:rFonts w:cs="Times New Roman"/>
          <w:i/>
          <w:iCs/>
          <w:noProof/>
        </w:rPr>
        <w:t>El proyecto de desarrollo de packaging</w:t>
      </w:r>
      <w:r w:rsidRPr="007D3CA5">
        <w:rPr>
          <w:rFonts w:cs="Times New Roman"/>
          <w:noProof/>
        </w:rPr>
        <w:t>. E</w:t>
      </w:r>
      <w:r>
        <w:rPr>
          <w:rFonts w:cs="Times New Roman"/>
          <w:noProof/>
        </w:rPr>
        <w:t>coembes</w:t>
      </w:r>
      <w:r w:rsidRPr="007D3CA5">
        <w:rPr>
          <w:rFonts w:cs="Times New Roman"/>
          <w:noProof/>
        </w:rPr>
        <w:t>. https://www.ecoembes.com/sites/default/files/archivos_publicaciones_empresas/el-proyecto-de-desarrollo-de-packaging.pdf</w:t>
      </w:r>
    </w:p>
    <w:p w14:paraId="2108B818" w14:textId="77777777" w:rsidR="004C4D81" w:rsidRDefault="004C4D81" w:rsidP="004C4D81">
      <w:pPr>
        <w:widowControl w:val="0"/>
        <w:autoSpaceDE w:val="0"/>
        <w:autoSpaceDN w:val="0"/>
        <w:adjustRightInd w:val="0"/>
        <w:ind w:left="480" w:hanging="480"/>
        <w:rPr>
          <w:rFonts w:cs="Times New Roman"/>
          <w:noProof/>
          <w:lang w:val="fr-CA"/>
        </w:rPr>
      </w:pPr>
      <w:r w:rsidRPr="00BA2300">
        <w:rPr>
          <w:rFonts w:cs="Times New Roman"/>
          <w:noProof/>
          <w:lang w:val="fr-CA"/>
        </w:rPr>
        <w:t xml:space="preserve">Bloch, I., &amp; Salin, M. H. (2004). </w:t>
      </w:r>
      <w:r w:rsidRPr="005B7136">
        <w:rPr>
          <w:rFonts w:cs="Times New Roman"/>
          <w:noProof/>
          <w:lang w:val="fr-CA"/>
        </w:rPr>
        <w:t xml:space="preserve">Espace et géométrie: géométrie dans le méso-espace à l’école primaire et au début du collège. </w:t>
      </w:r>
      <w:r w:rsidRPr="006642A8">
        <w:rPr>
          <w:rFonts w:cs="Times New Roman"/>
          <w:i/>
          <w:iCs/>
          <w:noProof/>
          <w:lang w:val="fr-CA"/>
        </w:rPr>
        <w:t>Actes du 30e Colloque de la COPIRELEM Avignon 2000</w:t>
      </w:r>
      <w:r w:rsidRPr="006642A8">
        <w:rPr>
          <w:rFonts w:cs="Times New Roman"/>
          <w:noProof/>
          <w:lang w:val="fr-CA"/>
        </w:rPr>
        <w:t>, 293-306.</w:t>
      </w:r>
    </w:p>
    <w:p w14:paraId="668B3607" w14:textId="77777777" w:rsidR="004C4D81" w:rsidRDefault="004C4D81" w:rsidP="004C4D81">
      <w:pPr>
        <w:widowControl w:val="0"/>
        <w:autoSpaceDE w:val="0"/>
        <w:autoSpaceDN w:val="0"/>
        <w:adjustRightInd w:val="0"/>
        <w:ind w:left="480" w:hanging="480"/>
        <w:rPr>
          <w:rFonts w:cs="Times New Roman"/>
          <w:noProof/>
        </w:rPr>
      </w:pPr>
      <w:r w:rsidRPr="005B7136">
        <w:rPr>
          <w:rFonts w:cs="Times New Roman"/>
          <w:noProof/>
          <w:lang w:val="fr-CA"/>
        </w:rPr>
        <w:t xml:space="preserve">Bloch, I., &amp; Salin, M. H. (2005). Vers une problématique de modélisation dans l’enseignement elementaire de la geometrie. En M. H. Salin, P. Clanché, &amp; B. Sarrazy (Eds.), </w:t>
      </w:r>
      <w:r w:rsidRPr="005B7136">
        <w:rPr>
          <w:rFonts w:cs="Times New Roman"/>
          <w:i/>
          <w:iCs/>
          <w:noProof/>
          <w:lang w:val="fr-CA"/>
        </w:rPr>
        <w:t>Sur la théorie des situations didactiques</w:t>
      </w:r>
      <w:r w:rsidRPr="005B7136">
        <w:rPr>
          <w:rFonts w:cs="Times New Roman"/>
          <w:noProof/>
          <w:lang w:val="fr-CA"/>
        </w:rPr>
        <w:t xml:space="preserve"> (pp. 125-142). </w:t>
      </w:r>
      <w:r w:rsidRPr="006642A8">
        <w:rPr>
          <w:rFonts w:cs="Times New Roman"/>
          <w:noProof/>
        </w:rPr>
        <w:t>La Pensée Sauvage.</w:t>
      </w:r>
    </w:p>
    <w:p w14:paraId="05A4850F" w14:textId="77777777" w:rsidR="004C4D81" w:rsidRPr="007D3CA5" w:rsidRDefault="004C4D81" w:rsidP="004C4D81">
      <w:pPr>
        <w:widowControl w:val="0"/>
        <w:autoSpaceDE w:val="0"/>
        <w:autoSpaceDN w:val="0"/>
        <w:adjustRightInd w:val="0"/>
        <w:ind w:left="480" w:hanging="480"/>
        <w:rPr>
          <w:rFonts w:cs="Times New Roman"/>
          <w:noProof/>
        </w:rPr>
      </w:pPr>
      <w:r w:rsidRPr="006642A8">
        <w:rPr>
          <w:rFonts w:cs="Times New Roman"/>
          <w:noProof/>
        </w:rPr>
        <w:t xml:space="preserve">Bosch, M. ; Compta, A.; Gascón, J.; Urbaneja, M.G. y Lamarca, J. M. (1996). </w:t>
      </w:r>
      <w:r w:rsidRPr="00865A8D">
        <w:rPr>
          <w:rFonts w:cs="Times New Roman"/>
          <w:i/>
          <w:iCs/>
          <w:noProof/>
        </w:rPr>
        <w:t>Matemáticas 2º ciclo de ESO/ 1er curso</w:t>
      </w:r>
      <w:r w:rsidRPr="00BE0155">
        <w:rPr>
          <w:rFonts w:cs="Times New Roman"/>
          <w:noProof/>
        </w:rPr>
        <w:t>.  Barcelona: Almadraba editorial.</w:t>
      </w:r>
    </w:p>
    <w:p w14:paraId="1391541D" w14:textId="77777777" w:rsidR="004C4D81" w:rsidRPr="006642A8" w:rsidRDefault="004C4D81" w:rsidP="004C4D81">
      <w:pPr>
        <w:widowControl w:val="0"/>
        <w:autoSpaceDE w:val="0"/>
        <w:autoSpaceDN w:val="0"/>
        <w:adjustRightInd w:val="0"/>
        <w:ind w:left="480" w:hanging="480"/>
        <w:rPr>
          <w:rFonts w:cs="Times New Roman"/>
          <w:noProof/>
          <w:lang w:val="fr-CA"/>
        </w:rPr>
      </w:pPr>
      <w:r w:rsidRPr="007D3CA5">
        <w:rPr>
          <w:rFonts w:cs="Times New Roman"/>
          <w:noProof/>
        </w:rPr>
        <w:t xml:space="preserve">Bosch, M., Fonseca, C., &amp; Gascón, J. (2004). Incompletitud de las organizaciones matemáticas locales en las instituciones escolares. </w:t>
      </w:r>
      <w:r w:rsidRPr="006642A8">
        <w:rPr>
          <w:rFonts w:cs="Times New Roman"/>
          <w:i/>
          <w:iCs/>
          <w:noProof/>
          <w:lang w:val="fr-CA"/>
        </w:rPr>
        <w:t xml:space="preserve">Recherches en </w:t>
      </w:r>
      <w:r>
        <w:rPr>
          <w:rFonts w:cs="Times New Roman"/>
          <w:i/>
          <w:iCs/>
          <w:noProof/>
          <w:lang w:val="fr-CA"/>
        </w:rPr>
        <w:t>d</w:t>
      </w:r>
      <w:r w:rsidRPr="006642A8">
        <w:rPr>
          <w:rFonts w:cs="Times New Roman"/>
          <w:i/>
          <w:iCs/>
          <w:noProof/>
          <w:lang w:val="fr-CA"/>
        </w:rPr>
        <w:t xml:space="preserve">idactique des </w:t>
      </w:r>
      <w:r>
        <w:rPr>
          <w:rFonts w:cs="Times New Roman"/>
          <w:i/>
          <w:iCs/>
          <w:noProof/>
          <w:lang w:val="fr-CA"/>
        </w:rPr>
        <w:t>m</w:t>
      </w:r>
      <w:r w:rsidRPr="006642A8">
        <w:rPr>
          <w:rFonts w:cs="Times New Roman"/>
          <w:i/>
          <w:iCs/>
          <w:noProof/>
          <w:lang w:val="fr-CA"/>
        </w:rPr>
        <w:t>athématiques</w:t>
      </w:r>
      <w:r w:rsidRPr="006642A8">
        <w:rPr>
          <w:rFonts w:cs="Times New Roman"/>
          <w:noProof/>
          <w:lang w:val="fr-CA"/>
        </w:rPr>
        <w:t xml:space="preserve">, </w:t>
      </w:r>
      <w:r w:rsidRPr="006642A8">
        <w:rPr>
          <w:rFonts w:cs="Times New Roman"/>
          <w:i/>
          <w:iCs/>
          <w:noProof/>
          <w:lang w:val="fr-CA"/>
        </w:rPr>
        <w:t>24</w:t>
      </w:r>
      <w:r w:rsidRPr="006642A8">
        <w:rPr>
          <w:rFonts w:cs="Times New Roman"/>
          <w:noProof/>
          <w:lang w:val="fr-CA"/>
        </w:rPr>
        <w:t>, 1-47.</w:t>
      </w:r>
    </w:p>
    <w:p w14:paraId="495490D6" w14:textId="77777777" w:rsidR="004C4D81" w:rsidRPr="00BA2300" w:rsidRDefault="004C4D81" w:rsidP="004C4D81">
      <w:pPr>
        <w:widowControl w:val="0"/>
        <w:autoSpaceDE w:val="0"/>
        <w:autoSpaceDN w:val="0"/>
        <w:adjustRightInd w:val="0"/>
        <w:ind w:left="480" w:hanging="480"/>
        <w:rPr>
          <w:rFonts w:cs="Times New Roman"/>
          <w:noProof/>
          <w:lang w:val="fr-CA"/>
        </w:rPr>
      </w:pPr>
      <w:r w:rsidRPr="006642A8">
        <w:rPr>
          <w:rFonts w:cs="Times New Roman"/>
          <w:noProof/>
          <w:lang w:val="fr-CA"/>
        </w:rPr>
        <w:t xml:space="preserve">Bosch, M. &amp; Gascón, J. (2005). La praxéologie comme unité d‘analyse des processusdidactiques. En Mercier, A., Margolinas, C. (eds.), </w:t>
      </w:r>
      <w:r w:rsidRPr="006642A8">
        <w:rPr>
          <w:rFonts w:cs="Times New Roman"/>
          <w:i/>
          <w:iCs/>
          <w:noProof/>
          <w:lang w:val="fr-CA"/>
        </w:rPr>
        <w:t>Balises pour la didactiquedes mathématiques</w:t>
      </w:r>
      <w:r w:rsidRPr="006642A8">
        <w:rPr>
          <w:rFonts w:cs="Times New Roman"/>
          <w:noProof/>
          <w:lang w:val="fr-CA"/>
        </w:rPr>
        <w:t xml:space="preserve"> (pp. 107-122). </w:t>
      </w:r>
      <w:r w:rsidRPr="00BA2300">
        <w:rPr>
          <w:rFonts w:cs="Times New Roman"/>
          <w:noProof/>
          <w:lang w:val="fr-CA"/>
        </w:rPr>
        <w:t>La Pensée Sauvage : Grenoble.</w:t>
      </w:r>
    </w:p>
    <w:p w14:paraId="4C453357" w14:textId="77777777" w:rsidR="004C4D81" w:rsidRPr="00BA2300" w:rsidRDefault="004C4D81" w:rsidP="004C4D81">
      <w:pPr>
        <w:widowControl w:val="0"/>
        <w:autoSpaceDE w:val="0"/>
        <w:autoSpaceDN w:val="0"/>
        <w:adjustRightInd w:val="0"/>
        <w:ind w:left="480" w:hanging="480"/>
        <w:rPr>
          <w:rFonts w:cstheme="minorBidi"/>
          <w:szCs w:val="22"/>
          <w:lang w:val="fr-CA"/>
        </w:rPr>
      </w:pPr>
      <w:r w:rsidRPr="00A27FD6">
        <w:rPr>
          <w:rFonts w:cs="Times New Roman"/>
          <w:lang w:val="fr-CA"/>
        </w:rPr>
        <w:t>Brousseau</w:t>
      </w:r>
      <w:r>
        <w:rPr>
          <w:rFonts w:cs="Times New Roman"/>
          <w:lang w:val="fr-CA"/>
        </w:rPr>
        <w:t>, G. (2000).</w:t>
      </w:r>
      <w:r w:rsidRPr="00A27FD6">
        <w:rPr>
          <w:rFonts w:cs="Times New Roman"/>
          <w:lang w:val="fr-CA"/>
        </w:rPr>
        <w:t xml:space="preserve"> </w:t>
      </w:r>
      <w:r w:rsidRPr="009745D3">
        <w:rPr>
          <w:rFonts w:cs="Times New Roman"/>
          <w:lang w:val="fr-CA"/>
        </w:rPr>
        <w:t>Les propriétés didactiques de la géométrie élémentaire; l’étude de l’espace et de la géométrie</w:t>
      </w:r>
      <w:r>
        <w:rPr>
          <w:rFonts w:cs="Times New Roman"/>
          <w:lang w:val="fr-CA"/>
        </w:rPr>
        <w:t>.</w:t>
      </w:r>
      <w:r w:rsidRPr="00A27FD6">
        <w:rPr>
          <w:rFonts w:cs="Times New Roman"/>
          <w:lang w:val="fr-CA"/>
        </w:rPr>
        <w:t xml:space="preserve"> </w:t>
      </w:r>
      <w:r w:rsidRPr="009745D3">
        <w:rPr>
          <w:rFonts w:cs="Times New Roman"/>
          <w:i/>
          <w:iCs/>
          <w:lang w:val="fr-CA"/>
        </w:rPr>
        <w:t>Actes du 2e colloque de didactique des mathématiques</w:t>
      </w:r>
      <w:r>
        <w:rPr>
          <w:rFonts w:cs="Times New Roman"/>
          <w:lang w:val="fr-CA"/>
        </w:rPr>
        <w:t xml:space="preserve">. </w:t>
      </w:r>
      <w:r w:rsidRPr="00BA2300">
        <w:rPr>
          <w:rFonts w:cs="Times New Roman"/>
          <w:i/>
          <w:iCs/>
          <w:lang w:val="fr-CA"/>
        </w:rPr>
        <w:t>Université de Crète</w:t>
      </w:r>
      <w:r>
        <w:rPr>
          <w:rFonts w:cs="Times New Roman"/>
          <w:lang w:val="fr-CA"/>
        </w:rPr>
        <w:t>,</w:t>
      </w:r>
      <w:r w:rsidRPr="009745D3">
        <w:rPr>
          <w:rFonts w:cs="Times New Roman"/>
          <w:lang w:val="fr-CA"/>
        </w:rPr>
        <w:t xml:space="preserve"> 67-83.</w:t>
      </w:r>
      <w:r>
        <w:rPr>
          <w:rFonts w:cs="Times New Roman"/>
          <w:lang w:val="fr-CA"/>
        </w:rPr>
        <w:t xml:space="preserve"> </w:t>
      </w:r>
      <w:r w:rsidRPr="009745D3">
        <w:rPr>
          <w:rFonts w:cs="Times New Roman"/>
          <w:lang w:val="fr-CA"/>
        </w:rPr>
        <w:t>https://hal.archives-ouvertes.fr/hal-00515110/document</w:t>
      </w:r>
    </w:p>
    <w:p w14:paraId="15CF6308" w14:textId="77777777" w:rsidR="004C4D81" w:rsidRPr="001B49B6" w:rsidRDefault="004C4D81" w:rsidP="004C4D81">
      <w:pPr>
        <w:widowControl w:val="0"/>
        <w:autoSpaceDE w:val="0"/>
        <w:autoSpaceDN w:val="0"/>
        <w:adjustRightInd w:val="0"/>
        <w:ind w:left="480" w:hanging="480"/>
        <w:rPr>
          <w:rFonts w:cs="Times New Roman"/>
          <w:noProof/>
        </w:rPr>
      </w:pPr>
      <w:r w:rsidRPr="0074460A">
        <w:rPr>
          <w:rFonts w:cs="Times New Roman"/>
          <w:noProof/>
        </w:rPr>
        <w:t>Carena, M</w:t>
      </w:r>
      <w:r>
        <w:rPr>
          <w:rFonts w:cs="Times New Roman"/>
          <w:noProof/>
        </w:rPr>
        <w:t xml:space="preserve">. (2020). </w:t>
      </w:r>
      <w:r w:rsidRPr="001E3C6B">
        <w:rPr>
          <w:rFonts w:cs="Times New Roman"/>
          <w:i/>
          <w:iCs/>
          <w:noProof/>
        </w:rPr>
        <w:t>La pelota siempre al 10 : problemas del fútbol resueltos con matemática</w:t>
      </w:r>
      <w:r>
        <w:rPr>
          <w:rFonts w:cs="Times New Roman"/>
          <w:noProof/>
        </w:rPr>
        <w:t>.</w:t>
      </w:r>
      <w:r w:rsidRPr="0074460A">
        <w:rPr>
          <w:rFonts w:cs="Times New Roman"/>
          <w:noProof/>
        </w:rPr>
        <w:t xml:space="preserve"> Santa Fe: Ediciones UNL, 2019.</w:t>
      </w:r>
      <w:r>
        <w:rPr>
          <w:rFonts w:cs="Times New Roman"/>
          <w:noProof/>
        </w:rPr>
        <w:t xml:space="preserve"> </w:t>
      </w:r>
      <w:r w:rsidRPr="00C16CD3">
        <w:rPr>
          <w:rFonts w:cs="Times New Roman"/>
          <w:noProof/>
        </w:rPr>
        <w:t>https://bibliotecavirtual.unl.edu.ar:8443/bitstream/handle/11185/5538/la</w:t>
      </w:r>
      <w:r w:rsidRPr="00C16CD3">
        <w:rPr>
          <w:rFonts w:cs="Times New Roman"/>
          <w:noProof/>
        </w:rPr>
        <w:lastRenderedPageBreak/>
        <w:t>pelotasiempre10.pdf?sequence=1&amp;isAllowed=y</w:t>
      </w:r>
    </w:p>
    <w:p w14:paraId="5016D5E3" w14:textId="77777777" w:rsidR="004C4D81" w:rsidRPr="001E3C6B" w:rsidRDefault="004C4D81" w:rsidP="004C4D81">
      <w:pPr>
        <w:widowControl w:val="0"/>
        <w:autoSpaceDE w:val="0"/>
        <w:autoSpaceDN w:val="0"/>
        <w:adjustRightInd w:val="0"/>
        <w:ind w:left="480" w:hanging="480"/>
        <w:rPr>
          <w:rFonts w:cs="Times New Roman"/>
          <w:noProof/>
          <w:lang w:val="fr-CA"/>
        </w:rPr>
      </w:pPr>
      <w:r w:rsidRPr="00083EAA">
        <w:rPr>
          <w:rFonts w:cs="Times New Roman"/>
          <w:noProof/>
          <w:lang w:val="it-IT"/>
        </w:rPr>
        <w:t xml:space="preserve">Castelnuovo, E. (1966). </w:t>
      </w:r>
      <w:r w:rsidRPr="00083EAA">
        <w:rPr>
          <w:rFonts w:cs="Times New Roman"/>
          <w:i/>
          <w:iCs/>
          <w:noProof/>
          <w:lang w:val="it-IT"/>
        </w:rPr>
        <w:t>Geometría intuitiva</w:t>
      </w:r>
      <w:r w:rsidRPr="00083EAA">
        <w:rPr>
          <w:rFonts w:cs="Times New Roman"/>
          <w:noProof/>
          <w:lang w:val="it-IT"/>
        </w:rPr>
        <w:t xml:space="preserve"> (R. Romero (trad.)). </w:t>
      </w:r>
      <w:r w:rsidRPr="001E3C6B">
        <w:rPr>
          <w:rFonts w:cs="Times New Roman"/>
          <w:noProof/>
          <w:lang w:val="fr-CA"/>
        </w:rPr>
        <w:t>Editorial Labor, S.A.</w:t>
      </w:r>
    </w:p>
    <w:p w14:paraId="17185735" w14:textId="77777777" w:rsidR="004C4D81" w:rsidRDefault="004C4D81" w:rsidP="004C4D81">
      <w:pPr>
        <w:widowControl w:val="0"/>
        <w:autoSpaceDE w:val="0"/>
        <w:autoSpaceDN w:val="0"/>
        <w:adjustRightInd w:val="0"/>
        <w:ind w:left="480" w:hanging="480"/>
        <w:rPr>
          <w:rFonts w:cs="Times New Roman"/>
          <w:noProof/>
          <w:lang w:val="fr-CA"/>
        </w:rPr>
      </w:pPr>
      <w:r w:rsidRPr="00DF5EBB">
        <w:rPr>
          <w:rFonts w:cs="Times New Roman"/>
          <w:noProof/>
          <w:lang w:val="fr-CA"/>
        </w:rPr>
        <w:t xml:space="preserve">Chevallard, Y. (1999). L’analyse des pratiques enseignantes en théorie anthropologique du didactique. </w:t>
      </w:r>
      <w:r w:rsidRPr="00083EAA">
        <w:rPr>
          <w:rFonts w:cs="Times New Roman"/>
          <w:i/>
          <w:iCs/>
          <w:noProof/>
          <w:lang w:val="fr-CA"/>
        </w:rPr>
        <w:t xml:space="preserve">Recherches </w:t>
      </w:r>
      <w:r>
        <w:rPr>
          <w:rFonts w:cs="Times New Roman"/>
          <w:i/>
          <w:iCs/>
          <w:noProof/>
          <w:lang w:val="fr-CA"/>
        </w:rPr>
        <w:t>e</w:t>
      </w:r>
      <w:r w:rsidRPr="00083EAA">
        <w:rPr>
          <w:rFonts w:cs="Times New Roman"/>
          <w:i/>
          <w:iCs/>
          <w:noProof/>
          <w:lang w:val="fr-CA"/>
        </w:rPr>
        <w:t xml:space="preserve">n </w:t>
      </w:r>
      <w:r>
        <w:rPr>
          <w:rFonts w:cs="Times New Roman"/>
          <w:i/>
          <w:iCs/>
          <w:noProof/>
          <w:lang w:val="fr-CA"/>
        </w:rPr>
        <w:t>d</w:t>
      </w:r>
      <w:r w:rsidRPr="00083EAA">
        <w:rPr>
          <w:rFonts w:cs="Times New Roman"/>
          <w:i/>
          <w:iCs/>
          <w:noProof/>
          <w:lang w:val="fr-CA"/>
        </w:rPr>
        <w:t xml:space="preserve">idactique </w:t>
      </w:r>
      <w:r>
        <w:rPr>
          <w:rFonts w:cs="Times New Roman"/>
          <w:i/>
          <w:iCs/>
          <w:noProof/>
          <w:lang w:val="fr-CA"/>
        </w:rPr>
        <w:t>d</w:t>
      </w:r>
      <w:r w:rsidRPr="00083EAA">
        <w:rPr>
          <w:rFonts w:cs="Times New Roman"/>
          <w:i/>
          <w:iCs/>
          <w:noProof/>
          <w:lang w:val="fr-CA"/>
        </w:rPr>
        <w:t xml:space="preserve">es </w:t>
      </w:r>
      <w:r>
        <w:rPr>
          <w:rFonts w:cs="Times New Roman"/>
          <w:i/>
          <w:iCs/>
          <w:noProof/>
          <w:lang w:val="fr-CA"/>
        </w:rPr>
        <w:t>m</w:t>
      </w:r>
      <w:r w:rsidRPr="00083EAA">
        <w:rPr>
          <w:rFonts w:cs="Times New Roman"/>
          <w:i/>
          <w:iCs/>
          <w:noProof/>
          <w:lang w:val="fr-CA"/>
        </w:rPr>
        <w:t>athématiques, 19(2)</w:t>
      </w:r>
      <w:r w:rsidRPr="00DF5EBB">
        <w:rPr>
          <w:rFonts w:cs="Times New Roman"/>
          <w:noProof/>
          <w:lang w:val="fr-CA"/>
        </w:rPr>
        <w:t>, 221–266. https://revue-rdm.com/1999/l-analyse-des-pratiques/</w:t>
      </w:r>
    </w:p>
    <w:p w14:paraId="1BD65BC1" w14:textId="77777777" w:rsidR="004C4D81" w:rsidRPr="007D3CA5" w:rsidRDefault="004C4D81" w:rsidP="004C4D81">
      <w:pPr>
        <w:widowControl w:val="0"/>
        <w:autoSpaceDE w:val="0"/>
        <w:autoSpaceDN w:val="0"/>
        <w:adjustRightInd w:val="0"/>
        <w:ind w:left="480" w:hanging="480"/>
        <w:rPr>
          <w:rFonts w:cs="Times New Roman"/>
          <w:noProof/>
        </w:rPr>
      </w:pPr>
      <w:r w:rsidRPr="005F6717">
        <w:rPr>
          <w:rFonts w:cs="Times New Roman"/>
          <w:noProof/>
          <w:lang w:val="fr-CA"/>
        </w:rPr>
        <w:t>Chevallard</w:t>
      </w:r>
      <w:r>
        <w:rPr>
          <w:rFonts w:cs="Times New Roman"/>
          <w:noProof/>
          <w:lang w:val="fr-CA"/>
        </w:rPr>
        <w:t>,</w:t>
      </w:r>
      <w:r w:rsidRPr="005F6717">
        <w:rPr>
          <w:rFonts w:cs="Times New Roman"/>
          <w:noProof/>
          <w:lang w:val="fr-CA"/>
        </w:rPr>
        <w:t xml:space="preserve"> Y. (2002) Organiser l’étude. Structures &amp; fonctions. </w:t>
      </w:r>
      <w:r w:rsidRPr="00865A8D">
        <w:rPr>
          <w:rFonts w:cs="Times New Roman"/>
          <w:noProof/>
          <w:lang w:val="en-US"/>
        </w:rPr>
        <w:t>In Dorier J.-L., Artaud M.,</w:t>
      </w:r>
      <w:r>
        <w:rPr>
          <w:rFonts w:cs="Times New Roman"/>
          <w:noProof/>
          <w:lang w:val="en-US"/>
        </w:rPr>
        <w:t xml:space="preserve"> </w:t>
      </w:r>
      <w:r w:rsidRPr="00865A8D">
        <w:rPr>
          <w:rFonts w:cs="Times New Roman"/>
          <w:noProof/>
          <w:lang w:val="en-US"/>
        </w:rPr>
        <w:t xml:space="preserve">Artigue M., Berthelot R., Floris R. (Eds.) </w:t>
      </w:r>
      <w:r w:rsidRPr="005F6717">
        <w:rPr>
          <w:rFonts w:cs="Times New Roman"/>
          <w:noProof/>
          <w:lang w:val="fr-CA"/>
        </w:rPr>
        <w:t xml:space="preserve">(pp. 3-22) </w:t>
      </w:r>
      <w:r w:rsidRPr="00083EAA">
        <w:rPr>
          <w:rFonts w:cs="Times New Roman"/>
          <w:i/>
          <w:iCs/>
          <w:noProof/>
          <w:lang w:val="fr-CA"/>
        </w:rPr>
        <w:t>Actes de la 11e école d’été de didactique des mathématiques</w:t>
      </w:r>
      <w:r w:rsidRPr="005F6717">
        <w:rPr>
          <w:rFonts w:cs="Times New Roman"/>
          <w:noProof/>
          <w:lang w:val="fr-CA"/>
        </w:rPr>
        <w:t xml:space="preserve">. </w:t>
      </w:r>
      <w:r w:rsidRPr="00865A8D">
        <w:rPr>
          <w:rFonts w:cs="Times New Roman"/>
          <w:noProof/>
        </w:rPr>
        <w:t>Grenoble : La Pensée sauvage.</w:t>
      </w:r>
    </w:p>
    <w:p w14:paraId="2C7D58CF" w14:textId="77777777" w:rsidR="004C4D81" w:rsidRPr="007D3CA5" w:rsidRDefault="004C4D81" w:rsidP="004C4D81">
      <w:pPr>
        <w:widowControl w:val="0"/>
        <w:autoSpaceDE w:val="0"/>
        <w:autoSpaceDN w:val="0"/>
        <w:adjustRightInd w:val="0"/>
        <w:ind w:left="480" w:hanging="480"/>
        <w:rPr>
          <w:rFonts w:cs="Times New Roman"/>
          <w:noProof/>
        </w:rPr>
      </w:pPr>
      <w:r w:rsidRPr="00083EAA">
        <w:rPr>
          <w:rFonts w:cs="Times New Roman"/>
          <w:noProof/>
          <w:lang w:val="pt-BR"/>
        </w:rPr>
        <w:t xml:space="preserve">Dos Santos, J. M. (2012). </w:t>
      </w:r>
      <w:r w:rsidRPr="005F661B">
        <w:rPr>
          <w:rFonts w:cs="Times New Roman"/>
          <w:noProof/>
        </w:rPr>
        <w:t>Introducción al GeoGebra 3D. En España, F</w:t>
      </w:r>
      <w:r>
        <w:rPr>
          <w:rFonts w:cs="Times New Roman"/>
          <w:noProof/>
        </w:rPr>
        <w:t>.</w:t>
      </w:r>
      <w:r w:rsidRPr="005F661B">
        <w:rPr>
          <w:rFonts w:cs="Times New Roman"/>
          <w:noProof/>
        </w:rPr>
        <w:t xml:space="preserve"> J</w:t>
      </w:r>
      <w:r>
        <w:rPr>
          <w:rFonts w:cs="Times New Roman"/>
          <w:noProof/>
        </w:rPr>
        <w:t>.</w:t>
      </w:r>
      <w:r w:rsidRPr="005F661B">
        <w:rPr>
          <w:rFonts w:cs="Times New Roman"/>
          <w:noProof/>
        </w:rPr>
        <w:t>; Sepúlveda, M</w:t>
      </w:r>
      <w:r>
        <w:rPr>
          <w:rFonts w:cs="Times New Roman"/>
          <w:noProof/>
        </w:rPr>
        <w:t>.</w:t>
      </w:r>
      <w:r w:rsidRPr="005F661B">
        <w:rPr>
          <w:rFonts w:cs="Times New Roman"/>
          <w:noProof/>
        </w:rPr>
        <w:t xml:space="preserve"> B</w:t>
      </w:r>
      <w:r>
        <w:rPr>
          <w:rFonts w:cs="Times New Roman"/>
          <w:noProof/>
        </w:rPr>
        <w:t xml:space="preserve">. </w:t>
      </w:r>
      <w:r w:rsidRPr="005F661B">
        <w:rPr>
          <w:rFonts w:cs="Times New Roman"/>
          <w:noProof/>
        </w:rPr>
        <w:t xml:space="preserve">(Eds.), </w:t>
      </w:r>
      <w:r w:rsidRPr="001E3C6B">
        <w:rPr>
          <w:rFonts w:cs="Times New Roman"/>
          <w:i/>
          <w:iCs/>
          <w:noProof/>
        </w:rPr>
        <w:t>XIV Congreso de Educación y Aprendizaje Matemático</w:t>
      </w:r>
      <w:r w:rsidRPr="005F661B">
        <w:rPr>
          <w:rFonts w:cs="Times New Roman"/>
          <w:noProof/>
        </w:rPr>
        <w:t xml:space="preserve"> (pp. 350-359). Málaga, España: S.A.E.M. THALES.</w:t>
      </w:r>
      <w:r>
        <w:rPr>
          <w:rFonts w:cs="Times New Roman"/>
          <w:noProof/>
        </w:rPr>
        <w:t xml:space="preserve"> </w:t>
      </w:r>
      <w:r w:rsidRPr="005F661B">
        <w:rPr>
          <w:rFonts w:cs="Times New Roman"/>
          <w:noProof/>
        </w:rPr>
        <w:t>http://funes.uniandes.edu.co/21660/1/DosSantos2012Introduccion.pdf</w:t>
      </w:r>
    </w:p>
    <w:p w14:paraId="5FC4BE16" w14:textId="77777777" w:rsidR="004C4D81" w:rsidRPr="007D3CA5" w:rsidRDefault="004C4D81" w:rsidP="004C4D81">
      <w:pPr>
        <w:widowControl w:val="0"/>
        <w:autoSpaceDE w:val="0"/>
        <w:autoSpaceDN w:val="0"/>
        <w:adjustRightInd w:val="0"/>
        <w:ind w:left="480" w:hanging="480"/>
        <w:rPr>
          <w:rFonts w:cs="Times New Roman"/>
          <w:noProof/>
        </w:rPr>
      </w:pPr>
      <w:r w:rsidRPr="007D3CA5">
        <w:rPr>
          <w:rFonts w:cs="Times New Roman"/>
          <w:noProof/>
        </w:rPr>
        <w:t xml:space="preserve">Fonseca, C. (2004). </w:t>
      </w:r>
      <w:r w:rsidRPr="007D3CA5">
        <w:rPr>
          <w:rFonts w:cs="Times New Roman"/>
          <w:i/>
          <w:iCs/>
          <w:noProof/>
        </w:rPr>
        <w:t>Discontinuidades matemáticas y didácticas entre la Enseñanza Secundaria y la Enseñanza Universitaria</w:t>
      </w:r>
      <w:r w:rsidRPr="007D3CA5">
        <w:rPr>
          <w:rFonts w:cs="Times New Roman"/>
          <w:noProof/>
        </w:rPr>
        <w:t xml:space="preserve"> [Tesis doctoral]. Universidad de Vigo.</w:t>
      </w:r>
    </w:p>
    <w:p w14:paraId="19BD375F" w14:textId="77777777" w:rsidR="004C4D81" w:rsidRPr="007D3CA5" w:rsidRDefault="004C4D81" w:rsidP="004C4D81">
      <w:pPr>
        <w:widowControl w:val="0"/>
        <w:autoSpaceDE w:val="0"/>
        <w:autoSpaceDN w:val="0"/>
        <w:adjustRightInd w:val="0"/>
        <w:ind w:left="480" w:hanging="480"/>
        <w:rPr>
          <w:rFonts w:cs="Times New Roman"/>
          <w:noProof/>
        </w:rPr>
      </w:pPr>
      <w:r w:rsidRPr="007D3CA5">
        <w:rPr>
          <w:rFonts w:cs="Times New Roman"/>
          <w:noProof/>
        </w:rPr>
        <w:t xml:space="preserve">Gascón, J. (2003). Efectos del autismo temático sobre el estudio de la Geometría en Secundaria I. Desaparición escolar de la razón de ser de la Geometría. </w:t>
      </w:r>
      <w:r w:rsidRPr="007D3CA5">
        <w:rPr>
          <w:rFonts w:cs="Times New Roman"/>
          <w:i/>
          <w:iCs/>
          <w:noProof/>
        </w:rPr>
        <w:t>SUMA</w:t>
      </w:r>
      <w:r w:rsidRPr="007D3CA5">
        <w:rPr>
          <w:rFonts w:cs="Times New Roman"/>
          <w:noProof/>
        </w:rPr>
        <w:t xml:space="preserve">, </w:t>
      </w:r>
      <w:r w:rsidRPr="007D3CA5">
        <w:rPr>
          <w:rFonts w:cs="Times New Roman"/>
          <w:i/>
          <w:iCs/>
          <w:noProof/>
        </w:rPr>
        <w:t>44</w:t>
      </w:r>
      <w:r w:rsidRPr="007D3CA5">
        <w:rPr>
          <w:rFonts w:cs="Times New Roman"/>
          <w:noProof/>
        </w:rPr>
        <w:t>, 25-34.</w:t>
      </w:r>
    </w:p>
    <w:p w14:paraId="0B020823" w14:textId="77777777" w:rsidR="004C4D81" w:rsidRPr="007D3CA5" w:rsidRDefault="004C4D81" w:rsidP="004C4D81">
      <w:pPr>
        <w:widowControl w:val="0"/>
        <w:autoSpaceDE w:val="0"/>
        <w:autoSpaceDN w:val="0"/>
        <w:adjustRightInd w:val="0"/>
        <w:ind w:left="480" w:hanging="480"/>
        <w:rPr>
          <w:rFonts w:cs="Times New Roman"/>
          <w:noProof/>
        </w:rPr>
      </w:pPr>
      <w:r w:rsidRPr="007D3CA5">
        <w:rPr>
          <w:rFonts w:cs="Times New Roman"/>
          <w:noProof/>
        </w:rPr>
        <w:t xml:space="preserve">Gascón, J. (2004). Efectos del autismo temático sobre el estudio de la Geometría en Secundaria II. La clasificación de los cuadriláteros convexos. </w:t>
      </w:r>
      <w:r w:rsidRPr="007D3CA5">
        <w:rPr>
          <w:rFonts w:cs="Times New Roman"/>
          <w:i/>
          <w:iCs/>
          <w:noProof/>
        </w:rPr>
        <w:t>SUMA</w:t>
      </w:r>
      <w:r w:rsidRPr="007D3CA5">
        <w:rPr>
          <w:rFonts w:cs="Times New Roman"/>
          <w:noProof/>
        </w:rPr>
        <w:t xml:space="preserve">, </w:t>
      </w:r>
      <w:r w:rsidRPr="007D3CA5">
        <w:rPr>
          <w:rFonts w:cs="Times New Roman"/>
          <w:i/>
          <w:iCs/>
          <w:noProof/>
        </w:rPr>
        <w:t>45</w:t>
      </w:r>
      <w:r w:rsidRPr="007D3CA5">
        <w:rPr>
          <w:rFonts w:cs="Times New Roman"/>
          <w:noProof/>
        </w:rPr>
        <w:t>, 41-52.</w:t>
      </w:r>
    </w:p>
    <w:p w14:paraId="67FEEB46" w14:textId="77777777" w:rsidR="004C4D81" w:rsidRPr="005E7701" w:rsidRDefault="004C4D81" w:rsidP="004C4D81">
      <w:pPr>
        <w:widowControl w:val="0"/>
        <w:autoSpaceDE w:val="0"/>
        <w:autoSpaceDN w:val="0"/>
        <w:adjustRightInd w:val="0"/>
        <w:ind w:left="480" w:hanging="480"/>
        <w:rPr>
          <w:rFonts w:cs="Times New Roman"/>
          <w:noProof/>
        </w:rPr>
      </w:pPr>
      <w:r w:rsidRPr="007D3CA5">
        <w:rPr>
          <w:rFonts w:cs="Times New Roman"/>
          <w:noProof/>
        </w:rPr>
        <w:t xml:space="preserve">Gascón, J. (2011). Las tres dimensiones fundamentales de un problema </w:t>
      </w:r>
      <w:r w:rsidRPr="005E7701">
        <w:rPr>
          <w:rFonts w:cs="Times New Roman"/>
          <w:noProof/>
        </w:rPr>
        <w:t xml:space="preserve">didáctico. el caso del álgebra elemental. </w:t>
      </w:r>
      <w:r w:rsidRPr="005E7701">
        <w:rPr>
          <w:rFonts w:cs="Times New Roman"/>
          <w:i/>
          <w:iCs/>
          <w:noProof/>
        </w:rPr>
        <w:t>RELIME</w:t>
      </w:r>
      <w:r w:rsidRPr="005E7701">
        <w:rPr>
          <w:rFonts w:cs="Times New Roman"/>
          <w:noProof/>
        </w:rPr>
        <w:t xml:space="preserve"> </w:t>
      </w:r>
      <w:r w:rsidRPr="005E7701">
        <w:rPr>
          <w:rFonts w:cs="Times New Roman"/>
          <w:i/>
          <w:iCs/>
          <w:noProof/>
        </w:rPr>
        <w:t>14</w:t>
      </w:r>
      <w:r w:rsidRPr="005E7701">
        <w:rPr>
          <w:rFonts w:cs="Times New Roman"/>
          <w:noProof/>
        </w:rPr>
        <w:t>(2), 203-231.</w:t>
      </w:r>
    </w:p>
    <w:p w14:paraId="3994BDFD" w14:textId="77777777" w:rsidR="004C4D81" w:rsidRDefault="004C4D81" w:rsidP="004C4D81">
      <w:pPr>
        <w:widowControl w:val="0"/>
        <w:autoSpaceDE w:val="0"/>
        <w:autoSpaceDN w:val="0"/>
        <w:adjustRightInd w:val="0"/>
        <w:ind w:left="480" w:hanging="480"/>
        <w:rPr>
          <w:rFonts w:cs="Times New Roman"/>
          <w:noProof/>
        </w:rPr>
      </w:pPr>
      <w:r w:rsidRPr="005E7701">
        <w:t xml:space="preserve">Gascón, J. (2014). Los modelos epistemológicos de referencia como instrumentos de emancipación de la didáctica y la historia de las matemáticas, </w:t>
      </w:r>
      <w:r w:rsidRPr="005E7701">
        <w:rPr>
          <w:i/>
        </w:rPr>
        <w:t>Educación Matemática</w:t>
      </w:r>
      <w:r w:rsidRPr="005E7701">
        <w:t xml:space="preserve">, </w:t>
      </w:r>
      <w:r w:rsidRPr="005E7701">
        <w:rPr>
          <w:noProof/>
        </w:rPr>
        <w:t xml:space="preserve">(Special Issue: XXV years), </w:t>
      </w:r>
      <w:r w:rsidRPr="005E7701">
        <w:t>99-123.</w:t>
      </w:r>
      <w:r w:rsidRPr="00DF3B9B">
        <w:t xml:space="preserve">   </w:t>
      </w:r>
    </w:p>
    <w:p w14:paraId="1A49596C" w14:textId="77777777" w:rsidR="004C4D81" w:rsidRPr="007D3CA5" w:rsidRDefault="004C4D81" w:rsidP="004C4D81">
      <w:pPr>
        <w:widowControl w:val="0"/>
        <w:autoSpaceDE w:val="0"/>
        <w:autoSpaceDN w:val="0"/>
        <w:adjustRightInd w:val="0"/>
        <w:ind w:left="480" w:hanging="480"/>
        <w:rPr>
          <w:rFonts w:cs="Times New Roman"/>
          <w:noProof/>
        </w:rPr>
      </w:pPr>
      <w:r w:rsidRPr="007D3CA5">
        <w:rPr>
          <w:rFonts w:cs="Times New Roman"/>
          <w:noProof/>
        </w:rPr>
        <w:t xml:space="preserve">Guillén, G. (1991). </w:t>
      </w:r>
      <w:r w:rsidRPr="007D3CA5">
        <w:rPr>
          <w:rFonts w:cs="Times New Roman"/>
          <w:i/>
          <w:iCs/>
          <w:noProof/>
        </w:rPr>
        <w:t>El mundo de los poliedros</w:t>
      </w:r>
      <w:r w:rsidRPr="007D3CA5">
        <w:rPr>
          <w:rFonts w:cs="Times New Roman"/>
          <w:noProof/>
        </w:rPr>
        <w:t>. Editorial Sintesis, S.A.</w:t>
      </w:r>
    </w:p>
    <w:p w14:paraId="0AF834CB" w14:textId="77777777" w:rsidR="004C4D81" w:rsidRDefault="004C4D81" w:rsidP="004C4D81">
      <w:pPr>
        <w:widowControl w:val="0"/>
        <w:autoSpaceDE w:val="0"/>
        <w:autoSpaceDN w:val="0"/>
        <w:adjustRightInd w:val="0"/>
        <w:ind w:left="480" w:hanging="480"/>
        <w:rPr>
          <w:rFonts w:cs="Times New Roman"/>
          <w:noProof/>
        </w:rPr>
      </w:pPr>
      <w:r w:rsidRPr="007D3CA5">
        <w:rPr>
          <w:rFonts w:cs="Times New Roman"/>
          <w:noProof/>
        </w:rPr>
        <w:t>I</w:t>
      </w:r>
      <w:r>
        <w:rPr>
          <w:rFonts w:cs="Times New Roman"/>
          <w:noProof/>
        </w:rPr>
        <w:t>hobe</w:t>
      </w:r>
      <w:r w:rsidRPr="007D3CA5">
        <w:rPr>
          <w:rFonts w:cs="Times New Roman"/>
          <w:noProof/>
        </w:rPr>
        <w:t xml:space="preserve"> S. A., &amp; E</w:t>
      </w:r>
      <w:r>
        <w:rPr>
          <w:rFonts w:cs="Times New Roman"/>
          <w:noProof/>
        </w:rPr>
        <w:t>coembes</w:t>
      </w:r>
      <w:r w:rsidRPr="007D3CA5">
        <w:rPr>
          <w:rFonts w:cs="Times New Roman"/>
          <w:noProof/>
        </w:rPr>
        <w:t xml:space="preserve">. (2017). </w:t>
      </w:r>
      <w:r w:rsidRPr="007D3CA5">
        <w:rPr>
          <w:rFonts w:cs="Times New Roman"/>
          <w:i/>
          <w:iCs/>
          <w:noProof/>
        </w:rPr>
        <w:t>Guía de ecodiseño de envases y embalajes</w:t>
      </w:r>
      <w:r w:rsidRPr="007D3CA5">
        <w:rPr>
          <w:rFonts w:cs="Times New Roman"/>
          <w:noProof/>
        </w:rPr>
        <w:t>. E</w:t>
      </w:r>
      <w:r>
        <w:rPr>
          <w:rFonts w:cs="Times New Roman"/>
          <w:noProof/>
        </w:rPr>
        <w:t>coembes</w:t>
      </w:r>
      <w:r w:rsidRPr="007D3CA5">
        <w:rPr>
          <w:rFonts w:cs="Times New Roman"/>
          <w:noProof/>
        </w:rPr>
        <w:t>. https://www.ecoembes.com/sites/default/files/archivos_publicaciones_e</w:t>
      </w:r>
      <w:r w:rsidRPr="007D3CA5">
        <w:rPr>
          <w:rFonts w:cs="Times New Roman"/>
          <w:noProof/>
        </w:rPr>
        <w:lastRenderedPageBreak/>
        <w:t>mpresas/10-guia-ecodiseno-envases-2018.pdf</w:t>
      </w:r>
    </w:p>
    <w:p w14:paraId="6F0DF7D5" w14:textId="77777777" w:rsidR="004C4D81" w:rsidRDefault="004C4D81" w:rsidP="004C4D81">
      <w:pPr>
        <w:widowControl w:val="0"/>
        <w:autoSpaceDE w:val="0"/>
        <w:autoSpaceDN w:val="0"/>
        <w:adjustRightInd w:val="0"/>
        <w:ind w:left="480" w:hanging="480"/>
        <w:rPr>
          <w:rFonts w:cs="Times New Roman"/>
          <w:noProof/>
        </w:rPr>
      </w:pPr>
      <w:r>
        <w:rPr>
          <w:rFonts w:cs="Times New Roman"/>
          <w:noProof/>
        </w:rPr>
        <w:t xml:space="preserve">Latasa, M. &amp; Ramos, F. (2022). Matemáticas orientadas a las enseñanzas aplicadas. 3º A de ESO. Capítulo 9: Geometría en el espacio. Globo terráqueo. </w:t>
      </w:r>
      <w:r w:rsidRPr="00637D76">
        <w:rPr>
          <w:rFonts w:cs="Times New Roman"/>
          <w:noProof/>
        </w:rPr>
        <w:t>https://www.apuntesmareaverde.org.es/grupos/mat/LOMLOE/3A/09_GeometriaEspacio_3A.pdf</w:t>
      </w:r>
    </w:p>
    <w:p w14:paraId="05E9870A" w14:textId="77777777" w:rsidR="004C4D81" w:rsidRPr="007D3CA5" w:rsidRDefault="004C4D81" w:rsidP="004C4D81">
      <w:pPr>
        <w:ind w:left="709" w:hanging="709"/>
        <w:rPr>
          <w:rFonts w:cs="Times New Roman"/>
        </w:rPr>
      </w:pPr>
      <w:r w:rsidRPr="0010777E">
        <w:rPr>
          <w:rFonts w:cs="Times New Roman"/>
        </w:rPr>
        <w:t>MEFP (2022)</w:t>
      </w:r>
      <w:r>
        <w:rPr>
          <w:rFonts w:cs="Times New Roman"/>
        </w:rPr>
        <w:t xml:space="preserve">. </w:t>
      </w:r>
      <w:r w:rsidRPr="00637D76">
        <w:rPr>
          <w:i/>
          <w:iCs/>
        </w:rPr>
        <w:t>Real Decreto 217/2022, de 29 de marzo, por el que se establece la ordenación y las enseñanzas mínimas de la Educación Secundaria Obligatoria.</w:t>
      </w:r>
      <w:r>
        <w:t xml:space="preserve"> </w:t>
      </w:r>
      <w:r w:rsidRPr="00052258">
        <w:t>https://www.boe.es/eli/es/rd/2022/03/29/217</w:t>
      </w:r>
    </w:p>
    <w:p w14:paraId="6AEE4A65" w14:textId="77777777" w:rsidR="004C4D81" w:rsidRPr="00BD5ABF" w:rsidRDefault="004C4D81" w:rsidP="004C4D81">
      <w:pPr>
        <w:widowControl w:val="0"/>
        <w:autoSpaceDE w:val="0"/>
        <w:autoSpaceDN w:val="0"/>
        <w:adjustRightInd w:val="0"/>
        <w:ind w:left="480" w:hanging="480"/>
        <w:rPr>
          <w:rFonts w:cs="Times New Roman"/>
          <w:noProof/>
        </w:rPr>
      </w:pPr>
      <w:r w:rsidRPr="00083EAA">
        <w:rPr>
          <w:rFonts w:cs="Times New Roman"/>
          <w:noProof/>
          <w:lang w:val="pt-BR"/>
        </w:rPr>
        <w:t xml:space="preserve">Navarro, P., Garcia-Romeu, M., Alcaraz, J., de la Cruz, E., Ferreira, B., &amp; Hortal, M. (2007). </w:t>
      </w:r>
      <w:r w:rsidRPr="007D3CA5">
        <w:rPr>
          <w:rFonts w:cs="Times New Roman"/>
          <w:i/>
          <w:iCs/>
          <w:noProof/>
        </w:rPr>
        <w:t>Guía práctica de diseño de envases y embalajes para la distribución de productos</w:t>
      </w:r>
      <w:r w:rsidRPr="007D3CA5">
        <w:rPr>
          <w:rFonts w:cs="Times New Roman"/>
          <w:noProof/>
        </w:rPr>
        <w:t>. Instituto tecnológico del embalaje, transporte y logística. http://www.itene.com/rs/810/d112d6ad-54ec-</w:t>
      </w:r>
      <w:r w:rsidRPr="00BD5ABF">
        <w:rPr>
          <w:rFonts w:cs="Times New Roman"/>
          <w:noProof/>
        </w:rPr>
        <w:t>438b-9358-4483f9e98868/f8b/filename/guia-diseno-envases-embalajes.pdf</w:t>
      </w:r>
    </w:p>
    <w:p w14:paraId="52A8F4A2" w14:textId="77777777" w:rsidR="004C4D81" w:rsidRPr="00BA2300" w:rsidRDefault="004C4D81" w:rsidP="004C4D81">
      <w:pPr>
        <w:widowControl w:val="0"/>
        <w:autoSpaceDE w:val="0"/>
        <w:autoSpaceDN w:val="0"/>
        <w:adjustRightInd w:val="0"/>
        <w:ind w:left="480" w:hanging="480"/>
        <w:rPr>
          <w:rFonts w:cs="Times New Roman"/>
          <w:noProof/>
          <w:lang w:val="fr-CA"/>
        </w:rPr>
      </w:pPr>
      <w:r w:rsidRPr="00BD5ABF">
        <w:rPr>
          <w:rFonts w:cs="Times New Roman"/>
          <w:noProof/>
          <w:lang w:val="fr-CA"/>
        </w:rPr>
        <w:t xml:space="preserve">Perrin-Glorian, M.J., Godin, M. (2014), De la reproduction de figures géométriques avec des instruments vers leur caractérisation par des énoncés. </w:t>
      </w:r>
      <w:r w:rsidRPr="00BD5ABF">
        <w:rPr>
          <w:rFonts w:cs="Times New Roman"/>
          <w:i/>
          <w:iCs/>
          <w:noProof/>
          <w:lang w:val="fr-CA"/>
        </w:rPr>
        <w:t>Math-école n°222</w:t>
      </w:r>
      <w:r w:rsidRPr="00BD5ABF">
        <w:rPr>
          <w:rFonts w:cs="Times New Roman"/>
          <w:noProof/>
          <w:lang w:val="fr-CA"/>
        </w:rPr>
        <w:t>, 26-36.</w:t>
      </w:r>
    </w:p>
    <w:p w14:paraId="36BDD314" w14:textId="61BEC32A" w:rsidR="004C4D81" w:rsidRPr="00083EAA" w:rsidRDefault="004C4D81" w:rsidP="004C4D81">
      <w:pPr>
        <w:widowControl w:val="0"/>
        <w:autoSpaceDE w:val="0"/>
        <w:autoSpaceDN w:val="0"/>
        <w:adjustRightInd w:val="0"/>
        <w:ind w:left="480" w:hanging="480"/>
        <w:rPr>
          <w:rFonts w:cs="Times New Roman"/>
          <w:noProof/>
        </w:rPr>
      </w:pPr>
      <w:r w:rsidRPr="008F4050">
        <w:rPr>
          <w:rFonts w:cs="Times New Roman"/>
          <w:noProof/>
          <w:lang w:val="fr-CA"/>
        </w:rPr>
        <w:t>P</w:t>
      </w:r>
      <w:r>
        <w:rPr>
          <w:rFonts w:cs="Times New Roman"/>
          <w:noProof/>
          <w:lang w:val="fr-CA"/>
        </w:rPr>
        <w:t>ó</w:t>
      </w:r>
      <w:r w:rsidRPr="008F4050">
        <w:rPr>
          <w:rFonts w:cs="Times New Roman"/>
          <w:noProof/>
          <w:lang w:val="fr-CA"/>
        </w:rPr>
        <w:t>lya, G.</w:t>
      </w:r>
      <w:r>
        <w:rPr>
          <w:rFonts w:cs="Times New Roman"/>
          <w:noProof/>
          <w:lang w:val="fr-CA"/>
        </w:rPr>
        <w:t xml:space="preserve"> (</w:t>
      </w:r>
      <w:r w:rsidR="00021D44">
        <w:rPr>
          <w:rFonts w:cs="Times New Roman"/>
          <w:noProof/>
          <w:lang w:val="fr-CA"/>
        </w:rPr>
        <w:t>1</w:t>
      </w:r>
      <w:r>
        <w:rPr>
          <w:rFonts w:cs="Times New Roman"/>
          <w:noProof/>
          <w:lang w:val="fr-CA"/>
        </w:rPr>
        <w:t xml:space="preserve">967). </w:t>
      </w:r>
      <w:r w:rsidRPr="008F4050">
        <w:rPr>
          <w:i/>
          <w:iCs/>
          <w:lang w:val="fr-CA"/>
        </w:rPr>
        <w:t>La découverte des mathématiques. Tomo II. Une méthode générale</w:t>
      </w:r>
      <w:r w:rsidRPr="008F4050">
        <w:rPr>
          <w:lang w:val="fr-CA"/>
        </w:rPr>
        <w:t xml:space="preserve"> ; trad. par M. Didier. </w:t>
      </w:r>
      <w:r w:rsidRPr="00083EAA">
        <w:t xml:space="preserve">Traduction de Mathematical discovery. </w:t>
      </w:r>
      <w:r w:rsidR="00BD5ABF" w:rsidRPr="00083EAA">
        <w:t>Paris:</w:t>
      </w:r>
      <w:r w:rsidRPr="00083EAA">
        <w:t xml:space="preserve"> Dunod. </w:t>
      </w:r>
    </w:p>
    <w:p w14:paraId="54E913DA" w14:textId="1BE21A52" w:rsidR="004C4D81" w:rsidRPr="007D3CA5" w:rsidRDefault="00BB642D" w:rsidP="004C4D81">
      <w:pPr>
        <w:widowControl w:val="0"/>
        <w:autoSpaceDE w:val="0"/>
        <w:autoSpaceDN w:val="0"/>
        <w:adjustRightInd w:val="0"/>
        <w:ind w:left="480" w:hanging="480"/>
        <w:rPr>
          <w:rFonts w:cs="Times New Roman"/>
          <w:noProof/>
        </w:rPr>
      </w:pPr>
      <w:r>
        <w:t>Autor (año</w:t>
      </w:r>
      <w:r w:rsidRPr="00763D3D">
        <w:t>)</w:t>
      </w:r>
    </w:p>
    <w:p w14:paraId="301DE1EF" w14:textId="77777777" w:rsidR="00BB642D" w:rsidRDefault="00BB642D" w:rsidP="004C4D81">
      <w:pPr>
        <w:widowControl w:val="0"/>
        <w:autoSpaceDE w:val="0"/>
        <w:autoSpaceDN w:val="0"/>
        <w:adjustRightInd w:val="0"/>
        <w:ind w:left="480" w:hanging="480"/>
      </w:pPr>
      <w:r>
        <w:t>Autor (año</w:t>
      </w:r>
      <w:r w:rsidRPr="00763D3D">
        <w:t>)</w:t>
      </w:r>
    </w:p>
    <w:p w14:paraId="658AF5AA" w14:textId="77777777" w:rsidR="00BB642D" w:rsidRDefault="00BB642D" w:rsidP="004C4D81">
      <w:pPr>
        <w:widowControl w:val="0"/>
        <w:autoSpaceDE w:val="0"/>
        <w:autoSpaceDN w:val="0"/>
        <w:adjustRightInd w:val="0"/>
        <w:ind w:left="480" w:hanging="480"/>
      </w:pPr>
      <w:r>
        <w:t>Autor (año</w:t>
      </w:r>
      <w:r w:rsidRPr="00763D3D">
        <w:t>)</w:t>
      </w:r>
    </w:p>
    <w:p w14:paraId="7211C669" w14:textId="77777777" w:rsidR="00BB642D" w:rsidRDefault="00BB642D" w:rsidP="004C4D81">
      <w:pPr>
        <w:widowControl w:val="0"/>
        <w:autoSpaceDE w:val="0"/>
        <w:autoSpaceDN w:val="0"/>
        <w:adjustRightInd w:val="0"/>
        <w:ind w:left="480" w:hanging="480"/>
      </w:pPr>
      <w:r>
        <w:t>Autor (año</w:t>
      </w:r>
      <w:r w:rsidRPr="00763D3D">
        <w:t>)</w:t>
      </w:r>
    </w:p>
    <w:p w14:paraId="3FB02B30" w14:textId="458DF58C" w:rsidR="004C4D81" w:rsidRDefault="004C4D81" w:rsidP="004C4D81">
      <w:pPr>
        <w:widowControl w:val="0"/>
        <w:autoSpaceDE w:val="0"/>
        <w:autoSpaceDN w:val="0"/>
        <w:adjustRightInd w:val="0"/>
        <w:ind w:left="480" w:hanging="480"/>
        <w:rPr>
          <w:rFonts w:cs="Times New Roman"/>
          <w:noProof/>
        </w:rPr>
      </w:pPr>
      <w:r w:rsidRPr="007D3CA5">
        <w:rPr>
          <w:rFonts w:cs="Times New Roman"/>
          <w:noProof/>
        </w:rPr>
        <w:t xml:space="preserve">Salin, M. H. (2004). La enseñanza del espacio y la geometría en la enseñanza elemental. En C. Chamorro (Ed.), </w:t>
      </w:r>
      <w:r w:rsidRPr="007D3CA5">
        <w:rPr>
          <w:rFonts w:cs="Times New Roman"/>
          <w:i/>
          <w:iCs/>
          <w:noProof/>
        </w:rPr>
        <w:t>Números, formas y volúmenes en el entorno del niño</w:t>
      </w:r>
      <w:r w:rsidRPr="007D3CA5">
        <w:rPr>
          <w:rFonts w:cs="Times New Roman"/>
          <w:noProof/>
        </w:rPr>
        <w:t xml:space="preserve"> (pp. 37-80). Ministerio de Educación y Ciencia.</w:t>
      </w:r>
    </w:p>
    <w:p w14:paraId="6475A029" w14:textId="47D43798" w:rsidR="004C4D81" w:rsidRPr="007D3CA5" w:rsidRDefault="00BB642D" w:rsidP="004C4D81">
      <w:pPr>
        <w:widowControl w:val="0"/>
        <w:autoSpaceDE w:val="0"/>
        <w:autoSpaceDN w:val="0"/>
        <w:adjustRightInd w:val="0"/>
        <w:ind w:left="480" w:hanging="480"/>
        <w:rPr>
          <w:rFonts w:cs="Times New Roman"/>
          <w:noProof/>
        </w:rPr>
      </w:pPr>
      <w:r>
        <w:t>Autor</w:t>
      </w:r>
      <w:r w:rsidR="001E4C2C">
        <w:t xml:space="preserve"> et al.</w:t>
      </w:r>
      <w:r>
        <w:t xml:space="preserve"> (año</w:t>
      </w:r>
      <w:r w:rsidRPr="00763D3D">
        <w:t>)</w:t>
      </w:r>
    </w:p>
    <w:p w14:paraId="57A24A0C" w14:textId="0F8E28ED" w:rsidR="004C4D81" w:rsidRPr="00411407" w:rsidRDefault="004C4D81" w:rsidP="004C4D81">
      <w:pPr>
        <w:pStyle w:val="paragraph"/>
        <w:spacing w:before="0" w:beforeAutospacing="0" w:after="120" w:afterAutospacing="0"/>
        <w:ind w:left="709" w:hanging="709"/>
        <w:textAlignment w:val="baseline"/>
        <w:rPr>
          <w:szCs w:val="22"/>
        </w:rPr>
      </w:pPr>
      <w:r>
        <w:fldChar w:fldCharType="end"/>
      </w:r>
    </w:p>
    <w:sectPr w:rsidR="004C4D81" w:rsidRPr="00411407" w:rsidSect="00575ECF">
      <w:headerReference w:type="first" r:id="rId26"/>
      <w:footerReference w:type="first" r:id="rId27"/>
      <w:pgSz w:w="9179" w:h="12977" w:code="145"/>
      <w:pgMar w:top="1418" w:right="1418" w:bottom="1418" w:left="851" w:header="0" w:footer="851"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8D86D" w14:textId="77777777" w:rsidR="003F46D4" w:rsidRDefault="003F46D4" w:rsidP="000E2BF2">
      <w:r>
        <w:separator/>
      </w:r>
    </w:p>
  </w:endnote>
  <w:endnote w:type="continuationSeparator" w:id="0">
    <w:p w14:paraId="1FF4A391" w14:textId="77777777" w:rsidR="003F46D4" w:rsidRDefault="003F46D4" w:rsidP="000E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94042" w14:textId="3F151E96" w:rsidR="007F621E" w:rsidRPr="002E2F85" w:rsidRDefault="007F621E" w:rsidP="007F621E">
    <w:pPr>
      <w:pStyle w:val="Rodap"/>
      <w:rPr>
        <w:rFonts w:cs="Times New Roman"/>
        <w:sz w:val="20"/>
        <w:szCs w:val="20"/>
      </w:rPr>
    </w:pPr>
    <w:r w:rsidRPr="002E2F85">
      <w:rPr>
        <w:rFonts w:cs="Times New Roman"/>
        <w:sz w:val="20"/>
        <w:szCs w:val="20"/>
      </w:rPr>
      <w:t>__________________</w:t>
    </w:r>
  </w:p>
  <w:p w14:paraId="7B5EAEE8" w14:textId="3D2389F2" w:rsidR="00D64EC7" w:rsidRPr="00850BB6" w:rsidRDefault="00D64EC7" w:rsidP="00D64EC7">
    <w:pPr>
      <w:pStyle w:val="Rodap"/>
      <w:rPr>
        <w:rFonts w:cs="Times New Roman"/>
        <w:sz w:val="20"/>
        <w:szCs w:val="20"/>
        <w:lang w:val="es-CO"/>
      </w:rPr>
    </w:pPr>
    <w:r>
      <w:rPr>
        <w:rFonts w:cs="Times New Roman"/>
        <w:sz w:val="20"/>
        <w:szCs w:val="20"/>
      </w:rPr>
      <w:t>Autor correspondiente</w:t>
    </w:r>
    <w:r w:rsidRPr="002E2F85">
      <w:rPr>
        <w:rFonts w:cs="Times New Roman"/>
        <w:sz w:val="20"/>
        <w:szCs w:val="20"/>
      </w:rPr>
      <w:t xml:space="preserve">: </w:t>
    </w:r>
    <w:r w:rsidR="0030447A">
      <w:rPr>
        <w:rFonts w:cs="Times New Roman"/>
        <w:sz w:val="20"/>
        <w:szCs w:val="20"/>
      </w:rPr>
      <w:t>Autor</w:t>
    </w:r>
    <w:r w:rsidRPr="002E2F85">
      <w:rPr>
        <w:rFonts w:cs="Times New Roman"/>
        <w:sz w:val="20"/>
        <w:szCs w:val="20"/>
      </w:rPr>
      <w:t xml:space="preserve">. </w:t>
    </w:r>
    <w:r w:rsidRPr="00850BB6">
      <w:rPr>
        <w:rFonts w:cs="Times New Roman"/>
        <w:sz w:val="20"/>
        <w:szCs w:val="20"/>
        <w:lang w:val="es-CO"/>
      </w:rPr>
      <w:t xml:space="preserve">Email: </w:t>
    </w:r>
    <w:hyperlink r:id="rId1" w:history="1">
      <w:r w:rsidR="0030447A" w:rsidRPr="00850BB6">
        <w:rPr>
          <w:rStyle w:val="Hyperlink"/>
          <w:rFonts w:cs="Times New Roman"/>
          <w:sz w:val="20"/>
          <w:szCs w:val="20"/>
          <w:lang w:val="es-CO"/>
        </w:rPr>
        <w:t>xxx</w:t>
      </w:r>
    </w:hyperlink>
    <w:r w:rsidRPr="00850BB6">
      <w:rPr>
        <w:rFonts w:cs="Times New Roman"/>
        <w:sz w:val="20"/>
        <w:szCs w:val="20"/>
        <w:lang w:val="es-CO"/>
      </w:rPr>
      <w:t xml:space="preserve"> </w:t>
    </w:r>
  </w:p>
  <w:p w14:paraId="1D4AF9A1" w14:textId="78AE747E" w:rsidR="007F621E" w:rsidRPr="00C72106" w:rsidRDefault="00C72106" w:rsidP="00C72106">
    <w:pPr>
      <w:pStyle w:val="Rodap"/>
      <w:jc w:val="center"/>
      <w:rPr>
        <w:rFonts w:cs="Times New Roman"/>
      </w:rPr>
    </w:pPr>
    <w:r w:rsidRPr="00850BB6">
      <w:rPr>
        <w:rFonts w:eastAsiaTheme="minorHAnsi" w:cs="Times New Roman"/>
        <w:kern w:val="0"/>
        <w:sz w:val="16"/>
        <w:szCs w:val="16"/>
        <w:lang w:val="es-CO"/>
      </w:rPr>
      <w:t xml:space="preserve">Acta </w:t>
    </w:r>
    <w:proofErr w:type="spellStart"/>
    <w:r w:rsidRPr="00850BB6">
      <w:rPr>
        <w:rFonts w:eastAsiaTheme="minorHAnsi" w:cs="Times New Roman"/>
        <w:kern w:val="0"/>
        <w:sz w:val="16"/>
        <w:szCs w:val="16"/>
        <w:lang w:val="es-CO"/>
      </w:rPr>
      <w:t>Sci</w:t>
    </w:r>
    <w:proofErr w:type="spellEnd"/>
    <w:r w:rsidRPr="00850BB6">
      <w:rPr>
        <w:rFonts w:eastAsiaTheme="minorHAnsi" w:cs="Times New Roman"/>
        <w:kern w:val="0"/>
        <w:sz w:val="16"/>
        <w:szCs w:val="16"/>
        <w:lang w:val="es-CO"/>
      </w:rPr>
      <w:t xml:space="preserve">. </w:t>
    </w:r>
    <w:r w:rsidRPr="00C72106">
      <w:rPr>
        <w:rFonts w:eastAsiaTheme="minorHAnsi" w:cs="Times New Roman"/>
        <w:kern w:val="0"/>
        <w:sz w:val="16"/>
        <w:szCs w:val="16"/>
      </w:rPr>
      <w:t>(Canoas</w:t>
    </w:r>
    <w:r w:rsidRPr="00C72106">
      <w:rPr>
        <w:rFonts w:eastAsiaTheme="minorHAnsi" w:cs="Times New Roman"/>
        <w:i/>
        <w:iCs/>
        <w:kern w:val="0"/>
        <w:sz w:val="16"/>
        <w:szCs w:val="16"/>
      </w:rPr>
      <w:t>), 2</w:t>
    </w:r>
    <w:r w:rsidRPr="00C72106">
      <w:rPr>
        <w:rFonts w:eastAsiaTheme="minorHAnsi" w:cs="Times New Roman"/>
        <w:i/>
        <w:iCs/>
        <w:sz w:val="16"/>
        <w:szCs w:val="16"/>
      </w:rPr>
      <w:t>3</w:t>
    </w:r>
    <w:r w:rsidRPr="00C72106">
      <w:rPr>
        <w:rFonts w:eastAsiaTheme="minorHAnsi" w:cs="Times New Roman"/>
        <w:kern w:val="0"/>
        <w:sz w:val="16"/>
        <w:szCs w:val="16"/>
      </w:rPr>
      <w:t>(</w:t>
    </w:r>
    <w:r w:rsidRPr="00C72106">
      <w:rPr>
        <w:rFonts w:eastAsiaTheme="minorHAnsi" w:cs="Times New Roman"/>
        <w:sz w:val="16"/>
        <w:szCs w:val="16"/>
      </w:rPr>
      <w:t>1</w:t>
    </w:r>
    <w:r w:rsidRPr="00C72106">
      <w:rPr>
        <w:rFonts w:eastAsiaTheme="minorHAnsi" w:cs="Times New Roman"/>
        <w:kern w:val="0"/>
        <w:sz w:val="16"/>
        <w:szCs w:val="16"/>
      </w:rPr>
      <w:t xml:space="preserve">), </w:t>
    </w:r>
    <w:r w:rsidRPr="00C72106">
      <w:rPr>
        <w:rFonts w:eastAsiaTheme="minorHAnsi" w:cs="Times New Roman"/>
        <w:sz w:val="16"/>
        <w:szCs w:val="16"/>
      </w:rPr>
      <w:t>1</w:t>
    </w:r>
    <w:r w:rsidRPr="00C72106">
      <w:rPr>
        <w:rFonts w:eastAsiaTheme="minorHAnsi" w:cs="Times New Roman"/>
        <w:kern w:val="0"/>
        <w:sz w:val="16"/>
        <w:szCs w:val="16"/>
      </w:rPr>
      <w:t>-</w:t>
    </w:r>
    <w:r w:rsidRPr="00C72106">
      <w:rPr>
        <w:rFonts w:eastAsiaTheme="minorHAnsi" w:cs="Times New Roman"/>
        <w:sz w:val="16"/>
        <w:szCs w:val="16"/>
      </w:rPr>
      <w:t>17</w:t>
    </w:r>
    <w:r w:rsidRPr="00C72106">
      <w:rPr>
        <w:rFonts w:eastAsiaTheme="minorHAnsi" w:cs="Times New Roman"/>
        <w:kern w:val="0"/>
        <w:sz w:val="16"/>
        <w:szCs w:val="16"/>
      </w:rPr>
      <w:t xml:space="preserve">, </w:t>
    </w:r>
    <w:proofErr w:type="spellStart"/>
    <w:r w:rsidRPr="00C72106">
      <w:rPr>
        <w:rFonts w:eastAsiaTheme="minorHAnsi" w:cs="Times New Roman"/>
        <w:sz w:val="16"/>
        <w:szCs w:val="16"/>
      </w:rPr>
      <w:t>Jan</w:t>
    </w:r>
    <w:proofErr w:type="spellEnd"/>
    <w:proofErr w:type="gramStart"/>
    <w:r w:rsidRPr="00C72106">
      <w:rPr>
        <w:rFonts w:eastAsiaTheme="minorHAnsi" w:cs="Times New Roman"/>
        <w:kern w:val="0"/>
        <w:sz w:val="16"/>
        <w:szCs w:val="16"/>
      </w:rPr>
      <w:t>./</w:t>
    </w:r>
    <w:proofErr w:type="spellStart"/>
    <w:proofErr w:type="gramEnd"/>
    <w:r w:rsidRPr="00C72106">
      <w:rPr>
        <w:rFonts w:eastAsiaTheme="minorHAnsi" w:cs="Times New Roman"/>
        <w:sz w:val="16"/>
        <w:szCs w:val="16"/>
      </w:rPr>
      <w:t>Fev</w:t>
    </w:r>
    <w:proofErr w:type="spellEnd"/>
    <w:r w:rsidRPr="00C72106">
      <w:rPr>
        <w:rFonts w:eastAsiaTheme="minorHAnsi" w:cs="Times New Roman"/>
        <w:kern w:val="0"/>
        <w:sz w:val="16"/>
        <w:szCs w:val="16"/>
      </w:rPr>
      <w:t>. 202</w:t>
    </w:r>
    <w:r w:rsidRPr="00C72106">
      <w:rPr>
        <w:rFonts w:eastAsiaTheme="minorHAnsi" w:cs="Times New Roman"/>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032FD" w14:textId="77777777" w:rsidR="003F46D4" w:rsidRDefault="003F46D4" w:rsidP="000E2BF2">
      <w:r>
        <w:separator/>
      </w:r>
    </w:p>
  </w:footnote>
  <w:footnote w:type="continuationSeparator" w:id="0">
    <w:p w14:paraId="42298D14" w14:textId="77777777" w:rsidR="003F46D4" w:rsidRDefault="003F46D4" w:rsidP="000E2BF2">
      <w:r>
        <w:continuationSeparator/>
      </w:r>
    </w:p>
  </w:footnote>
  <w:footnote w:id="1">
    <w:p w14:paraId="2C1AB557" w14:textId="77777777" w:rsidR="00EA04BB" w:rsidRDefault="00EA04BB" w:rsidP="00EA04BB">
      <w:pPr>
        <w:pStyle w:val="Textodenotaderodap"/>
      </w:pPr>
      <w:r w:rsidRPr="00662D21">
        <w:rPr>
          <w:rStyle w:val="Refdenotaderodap"/>
        </w:rPr>
        <w:footnoteRef/>
      </w:r>
      <w:r>
        <w:t xml:space="preserve"> En Gascón (2011), se presenta un esquema del patrón heurístico de un problema didáctico en el que P</w:t>
      </w:r>
      <w:r w:rsidRPr="00AC313B">
        <w:rPr>
          <w:vertAlign w:val="subscript"/>
        </w:rPr>
        <w:t>1</w:t>
      </w:r>
      <w:r>
        <w:t>, P</w:t>
      </w:r>
      <w:r w:rsidRPr="00AC313B">
        <w:rPr>
          <w:vertAlign w:val="subscript"/>
        </w:rPr>
        <w:t>2</w:t>
      </w:r>
      <w:r>
        <w:t xml:space="preserve"> y P</w:t>
      </w:r>
      <w:r w:rsidRPr="00AC313B">
        <w:rPr>
          <w:vertAlign w:val="subscript"/>
        </w:rPr>
        <w:t>3</w:t>
      </w:r>
      <w:r>
        <w:t xml:space="preserve"> se corresponden con las dimensiones fundamentales de un problema didáctico (P</w:t>
      </w:r>
      <w:r w:rsidRPr="00AC313B">
        <w:rPr>
          <w:rFonts w:cs="Times New Roman"/>
          <w:vertAlign w:val="subscript"/>
        </w:rPr>
        <w:t>δ</w:t>
      </w:r>
      <w:r>
        <w:t>). P</w:t>
      </w:r>
      <w:r w:rsidRPr="00AC313B">
        <w:rPr>
          <w:vertAlign w:val="subscript"/>
        </w:rPr>
        <w:t>0</w:t>
      </w:r>
      <w:r>
        <w:t xml:space="preserve"> representa una formulación inicial, también llamada problema docente (i.e., </w:t>
      </w:r>
      <w:r>
        <w:rPr>
          <w:rFonts w:cs="Times New Roman"/>
        </w:rPr>
        <w:t>{[(P</w:t>
      </w:r>
      <w:r w:rsidRPr="00184DCC">
        <w:rPr>
          <w:rFonts w:cs="Times New Roman"/>
          <w:vertAlign w:val="subscript"/>
        </w:rPr>
        <w:t>0</w:t>
      </w:r>
      <w:r w:rsidRPr="00EF2B3B">
        <w:rPr>
          <w:rFonts w:ascii="Cambria Math" w:hAnsi="Cambria Math" w:cs="Cambria Math"/>
          <w:color w:val="0E1318"/>
          <w:sz w:val="27"/>
          <w:szCs w:val="27"/>
          <w:shd w:val="clear" w:color="auto" w:fill="FFFFFF"/>
        </w:rPr>
        <w:t xml:space="preserve"> </w:t>
      </w:r>
      <w:r w:rsidRPr="00EF2B3B">
        <w:rPr>
          <w:rFonts w:ascii="Cambria Math" w:hAnsi="Cambria Math" w:cs="Cambria Math"/>
          <w:color w:val="0E1318"/>
          <w:shd w:val="clear" w:color="auto" w:fill="FFFFFF"/>
        </w:rPr>
        <w:t>⊕</w:t>
      </w:r>
      <w:r>
        <w:rPr>
          <w:rFonts w:cs="Times New Roman"/>
        </w:rPr>
        <w:t xml:space="preserve"> P</w:t>
      </w:r>
      <w:r w:rsidRPr="00184DCC">
        <w:rPr>
          <w:rFonts w:cs="Times New Roman"/>
          <w:vertAlign w:val="subscript"/>
        </w:rPr>
        <w:t>1</w:t>
      </w:r>
      <w:r>
        <w:rPr>
          <w:rFonts w:cs="Times New Roman"/>
        </w:rPr>
        <w:t xml:space="preserve">) </w:t>
      </w:r>
      <w:r w:rsidRPr="00277166">
        <w:rPr>
          <w:rFonts w:ascii="Segoe UI Symbol" w:hAnsi="Segoe UI Symbol" w:cs="Segoe UI Symbol"/>
          <w:color w:val="111111"/>
          <w:shd w:val="clear" w:color="auto" w:fill="FFFFFF"/>
        </w:rPr>
        <w:t>⮎</w:t>
      </w:r>
      <w:r>
        <w:rPr>
          <w:rFonts w:cs="Times New Roman"/>
        </w:rPr>
        <w:t xml:space="preserve"> P</w:t>
      </w:r>
      <w:r w:rsidRPr="00184DCC">
        <w:rPr>
          <w:rFonts w:cs="Times New Roman"/>
          <w:vertAlign w:val="subscript"/>
        </w:rPr>
        <w:t>2</w:t>
      </w:r>
      <w:r>
        <w:rPr>
          <w:rFonts w:cs="Times New Roman"/>
        </w:rPr>
        <w:t>]</w:t>
      </w:r>
      <w:r w:rsidRPr="00B25DFC">
        <w:rPr>
          <w:rFonts w:cs="Times New Roman"/>
        </w:rPr>
        <w:t xml:space="preserve"> </w:t>
      </w:r>
      <w:r w:rsidRPr="00277166">
        <w:rPr>
          <w:rFonts w:ascii="Segoe UI Symbol" w:hAnsi="Segoe UI Symbol" w:cs="Segoe UI Symbol"/>
          <w:color w:val="111111"/>
          <w:shd w:val="clear" w:color="auto" w:fill="FFFFFF"/>
        </w:rPr>
        <w:t>⮎</w:t>
      </w:r>
      <w:r>
        <w:rPr>
          <w:rFonts w:cs="Times New Roman"/>
        </w:rPr>
        <w:t xml:space="preserve"> P</w:t>
      </w:r>
      <w:r w:rsidRPr="00184DCC">
        <w:rPr>
          <w:rFonts w:cs="Times New Roman"/>
          <w:vertAlign w:val="subscript"/>
        </w:rPr>
        <w:t>3</w:t>
      </w:r>
      <w:r>
        <w:rPr>
          <w:rFonts w:cs="Times New Roman"/>
        </w:rPr>
        <w:t xml:space="preserve">} </w:t>
      </w:r>
      <w:r w:rsidRPr="00277166">
        <w:rPr>
          <w:rFonts w:ascii="Segoe UI Symbol" w:hAnsi="Segoe UI Symbol" w:cs="Segoe UI Symbol"/>
          <w:color w:val="111111"/>
          <w:shd w:val="clear" w:color="auto" w:fill="FFFFFF"/>
        </w:rPr>
        <w:t>⮎</w:t>
      </w:r>
      <w:r w:rsidRPr="00B25DFC">
        <w:t xml:space="preserve"> </w:t>
      </w:r>
      <w:r>
        <w:t>P</w:t>
      </w:r>
      <w:r w:rsidRPr="00AC313B">
        <w:rPr>
          <w:rFonts w:cs="Times New Roman"/>
          <w:vertAlign w:val="subscript"/>
        </w:rPr>
        <w:t>δ</w:t>
      </w:r>
      <w:r>
        <w:t xml:space="preserve">). </w:t>
      </w:r>
    </w:p>
  </w:footnote>
  <w:footnote w:id="2">
    <w:p w14:paraId="79CA87C5" w14:textId="4AA51DC2" w:rsidR="005B6E35" w:rsidRDefault="005B6E35" w:rsidP="005B6E35">
      <w:pPr>
        <w:pStyle w:val="Textodenotaderodap"/>
      </w:pPr>
      <w:r>
        <w:rPr>
          <w:rStyle w:val="Refdenotaderodap"/>
        </w:rPr>
        <w:footnoteRef/>
      </w:r>
      <w:r>
        <w:t xml:space="preserve"> Le elección de estas cuestiones coincide con algunas de las preguntas que los estudiantes se plantearon durante la implementación del REI, cuyos resultados parciales se comunicaron en </w:t>
      </w:r>
      <w:r>
        <w:fldChar w:fldCharType="begin" w:fldLock="1"/>
      </w:r>
      <w:r>
        <w:instrText>ADDIN CSL_CITATION {"citationItems":[{"id":"ITEM-1","itemData":{"DOI":"10.35763/aiem20.4031","abstract":"Presentamos restricciones institucionales que dificultan la modelización espacio-geométrica en la enseñanza secundaria. Con el objetivo de explicarlas, describimos y analizamos tanto la actividad matemática propuesta sobre construcción de cuerpos geométricos en el manual utilizado por alumnos de 3.º de Educación Secundaria Obligatoria como la experimentada en un recorrido de estudio e investigación sobre un problema espacial acerca del diseño y construcción de envases. Utilizamos elementos basados en los indicadores del grado de completitud de una organización matemática local que caracterizan los tipos de tareas de modelización matemática. Los resultados indican, principalmente, que, aunque el tipo de problema propuesto posee potencial para provocar la necesidad de utilizar procesos de modelización y para dar sentido a saberes curriculares sobre la determinación y construcción de cuerpos geométricos, el impacto del currículo dominante al que se enfrentan diariamente los estudiantes dificulta dichos procesos.","author":[{"dropping-particle":"","family":"Rojas","given":"Carlos","non-dropping-particle":"","parse-names":false,"suffix":""},{"dropping-particle":"","family":"Sierra","given":"Tomás Á.","non-dropping-particle":"","parse-names":false,"suffix":""}],"container-title":"Avances de Investigación en Educación Matemática","id":"ITEM-1","issue":"20","issued":{"date-parts":[["2021"]]},"page":"41-63","title":"Restricciones institucionales que dificultan la modelización espacio-geométrica en la enseñanza secundaria","type":"article-journal"},"uris":["http://www.mendeley.com/documents/?uuid=70f669ca-5f7e-40b8-877c-fcef07392fe9"]},{"id":"ITEM-2","itemData":{"DOI":"10.24844/EM3301.08","ISSN":"24488089","abstract":"In this work we intend to tackle the didactic phenomenon of the loss of the raisons d'être of geometric knowledge proposed for Compulsory Secondary Education. Thus, we conjecture that spatial problems may become a possible reason d'être of such knowledge. In search of evidences for our conjecture, we have implemented, in a group of 14 secondary students, a kind of study process known as study and research path, which starts with a question about the spatial problem of designing and constructing a one-litre container. Then, by using the degree of completeness indicators of a local mathematical organisation, we analyse the mathematical activity carried out by the students. Our analysis suggests that: a) with this study process it is possible to address in a functional way part of the geometric knowledge proposed in the Secondary curriculum, and b) the rigidity of the school mathematical activity, usual in Secondary classes, on the one hand, limits the possibility of using different techniques to solve the same task and to construct new techniques; and, on the other hand, does not help to question the validity domain of the techniques used in class.","author":[{"dropping-particle":"","family":"Rojas","given":"Carlos","non-dropping-particle":"","parse-names":false,"suffix":""},{"dropping-particle":"","family":"Sierra","given":"Tomás","non-dropping-particle":"","parse-names":false,"suffix":""}],"container-title":"Educación Matemática","id":"ITEM-2","issue":"1","issued":{"date-parts":[["2021"]]},"page":"208-239","title":"Conocimientos geométricos como respuesta a un problema espacial en el desarrollo de un recorrido de estudio e investigación","type":"article-journal","volume":"33"},"uris":["http://www.mendeley.com/documents/?uuid=26dcfa15-2767-4078-b4cb-3262bcb04e68"]}],"mendeley":{"formattedCitation":"(Rojas &amp; Sierra, 2021a, 2021b)","manualFormatting":"Rojas y Sierra (2021a, 2021b)","plainTextFormattedCitation":"(Rojas &amp; Sierra, 2021a, 2021b)","previouslyFormattedCitation":"(Rojas &amp; Sierra, 2021a, 2021b)"},"properties":{"noteIndex":0},"schema":"https://github.com/citation-style-language/schema/raw/master/csl-citation.json"}</w:instrText>
      </w:r>
      <w:r>
        <w:fldChar w:fldCharType="separate"/>
      </w:r>
      <w:r w:rsidR="00BB642D" w:rsidRPr="00BB642D">
        <w:t xml:space="preserve"> </w:t>
      </w:r>
      <w:r w:rsidR="00BB642D">
        <w:t>Autor (año</w:t>
      </w:r>
      <w:r w:rsidR="00BB642D" w:rsidRPr="00763D3D">
        <w:t>)</w:t>
      </w:r>
      <w:r>
        <w:fldChar w:fldCharType="end"/>
      </w:r>
      <w:r>
        <w:t>.</w:t>
      </w:r>
    </w:p>
  </w:footnote>
  <w:footnote w:id="3">
    <w:p w14:paraId="594454D0" w14:textId="77777777" w:rsidR="003E6340" w:rsidRDefault="003E6340" w:rsidP="003E6340">
      <w:pPr>
        <w:pStyle w:val="Textodenotaderodap"/>
      </w:pPr>
      <w:r>
        <w:rPr>
          <w:rStyle w:val="Refdenotaderodap"/>
        </w:rPr>
        <w:footnoteRef/>
      </w:r>
      <w:r>
        <w:t xml:space="preserve"> Este es un programa de geometría dinámica de uso libre ampliamente difundido y empleado en diversos espacios académicos para el estudio, desarrollo e investigación de, por ejemplo, saberes geométricos tanto sintéticos como analíticos, análisis de funciones, etc.  </w:t>
      </w:r>
    </w:p>
  </w:footnote>
  <w:footnote w:id="4">
    <w:p w14:paraId="54670F06" w14:textId="77777777" w:rsidR="00E7624C" w:rsidRDefault="00E7624C" w:rsidP="00E7624C">
      <w:pPr>
        <w:pStyle w:val="Textodenotaderodap"/>
      </w:pPr>
      <w:r w:rsidRPr="000C794D">
        <w:rPr>
          <w:rStyle w:val="Refdenotaderodap"/>
        </w:rPr>
        <w:footnoteRef/>
      </w:r>
      <w:r w:rsidRPr="000C794D">
        <w:t xml:space="preserve"> Queremos señalar que la fórmula del área de un polígono regular </w:t>
      </w:r>
      <w:r w:rsidRPr="000C794D">
        <w:rPr>
          <w:b/>
          <w:bCs/>
          <w:i/>
          <w:iCs/>
        </w:rPr>
        <w:t xml:space="preserve">B </w:t>
      </w:r>
      <w:r w:rsidRPr="000C794D">
        <w:t xml:space="preserve">siempre se presenta en los textos escolares en función del perímetro </w:t>
      </w:r>
      <w:r w:rsidRPr="000C794D">
        <w:rPr>
          <w:b/>
          <w:bCs/>
          <w:i/>
          <w:iCs/>
        </w:rPr>
        <w:t>p</w:t>
      </w:r>
      <w:r w:rsidRPr="000C794D">
        <w:t xml:space="preserve"> y de la apotema </w:t>
      </w:r>
      <w:r w:rsidRPr="000C794D">
        <w:rPr>
          <w:b/>
          <w:bCs/>
          <w:i/>
          <w:iCs/>
        </w:rPr>
        <w:t>a</w:t>
      </w:r>
      <w:r w:rsidRPr="000C794D">
        <w:t xml:space="preserve">, lo que sugiere que ambos datos son independientes. </w:t>
      </w:r>
      <w:r>
        <w:t>Cuando</w:t>
      </w:r>
      <w:r w:rsidRPr="000C794D">
        <w:t xml:space="preserve"> el polígono es un hexágono regular la relación de dependencia entre </w:t>
      </w:r>
      <w:r w:rsidRPr="000C794D">
        <w:rPr>
          <w:b/>
          <w:bCs/>
          <w:i/>
          <w:iCs/>
        </w:rPr>
        <w:t>p</w:t>
      </w:r>
      <w:r w:rsidRPr="000C794D">
        <w:t xml:space="preserve"> y </w:t>
      </w:r>
      <w:r w:rsidRPr="000C794D">
        <w:rPr>
          <w:b/>
          <w:bCs/>
          <w:i/>
          <w:iCs/>
        </w:rPr>
        <w:t>a</w:t>
      </w:r>
      <w:r w:rsidRPr="000C794D">
        <w:t xml:space="preserve"> es muy evidente y en los demás polígonos regulares se puede demostrar utilizando las razones trigonométricas, tal como acabamos de ver al calcular el área de un pentágono regular.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DA57F" w14:textId="77777777" w:rsidR="00575ECF" w:rsidRPr="00575ECF" w:rsidRDefault="00575ECF" w:rsidP="00575ECF">
    <w:pPr>
      <w:tabs>
        <w:tab w:val="left" w:pos="1470"/>
        <w:tab w:val="right" w:pos="8498"/>
      </w:tabs>
      <w:spacing w:after="60"/>
      <w:jc w:val="right"/>
      <w:rPr>
        <w:rFonts w:cs="Times New Roman"/>
        <w:b/>
        <w:bCs/>
        <w:sz w:val="28"/>
        <w:szCs w:val="12"/>
      </w:rPr>
    </w:pPr>
    <w:bookmarkStart w:id="23" w:name="_Hlk8025784"/>
    <w:r w:rsidRPr="00575ECF">
      <w:rPr>
        <w:rFonts w:cs="Times New Roman"/>
        <w:noProof/>
        <w:szCs w:val="18"/>
        <w:lang w:val="pt-BR" w:eastAsia="pt-BR" w:bidi="ar-SA"/>
      </w:rPr>
      <w:drawing>
        <wp:anchor distT="0" distB="0" distL="114300" distR="114300" simplePos="0" relativeHeight="251662336" behindDoc="0" locked="0" layoutInCell="1" allowOverlap="1" wp14:anchorId="6EBDA0D3" wp14:editId="7BCFA0F4">
          <wp:simplePos x="0" y="0"/>
          <wp:positionH relativeFrom="column">
            <wp:align>left</wp:align>
          </wp:positionH>
          <wp:positionV relativeFrom="page">
            <wp:posOffset>71755</wp:posOffset>
          </wp:positionV>
          <wp:extent cx="532800" cy="374400"/>
          <wp:effectExtent l="0" t="0" r="635" b="6985"/>
          <wp:wrapNone/>
          <wp:docPr id="12"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00" cy="3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ECF">
      <w:rPr>
        <w:rFonts w:cs="Times New Roman"/>
        <w:noProof/>
        <w:szCs w:val="18"/>
        <w:lang w:val="pt-BR" w:eastAsia="pt-BR" w:bidi="ar-SA"/>
      </w:rPr>
      <w:drawing>
        <wp:anchor distT="0" distB="0" distL="114300" distR="114300" simplePos="0" relativeHeight="251656192" behindDoc="0" locked="0" layoutInCell="1" allowOverlap="1" wp14:anchorId="675EBCD4" wp14:editId="387F0B86">
          <wp:simplePos x="0" y="0"/>
          <wp:positionH relativeFrom="column">
            <wp:align>right</wp:align>
          </wp:positionH>
          <wp:positionV relativeFrom="page">
            <wp:posOffset>71755</wp:posOffset>
          </wp:positionV>
          <wp:extent cx="763270" cy="144145"/>
          <wp:effectExtent l="0" t="0" r="0" b="0"/>
          <wp:wrapNone/>
          <wp:docPr id="31" name="Picture 4">
            <a:hlinkClick xmlns:a="http://schemas.openxmlformats.org/drawingml/2006/main" r:id="rId3" tooltip="This work is licensed under a Creative Commons Attribution 4.0 International License (http://creativecommons.org/licenses/by/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 tooltip="This work is licensed under a Creative Commons Attribution 4.0 International License (http://creativecommons.org/licenses/by/4.0/)."/>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3270" cy="1441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4" w:name="_Hlk7869852"/>
  <w:p w14:paraId="6132CF61" w14:textId="77777777" w:rsidR="00575ECF" w:rsidRPr="00575ECF" w:rsidRDefault="00575ECF" w:rsidP="00575ECF">
    <w:pPr>
      <w:jc w:val="right"/>
      <w:rPr>
        <w:rFonts w:cs="Times New Roman"/>
        <w:b/>
        <w:bCs/>
        <w:sz w:val="16"/>
        <w:szCs w:val="16"/>
      </w:rPr>
    </w:pPr>
    <w:r w:rsidRPr="00575ECF">
      <w:rPr>
        <w:rFonts w:cs="Times New Roman"/>
        <w:b/>
        <w:bCs/>
        <w:sz w:val="16"/>
        <w:szCs w:val="16"/>
      </w:rPr>
      <w:fldChar w:fldCharType="begin"/>
    </w:r>
    <w:r w:rsidRPr="00575ECF">
      <w:rPr>
        <w:rFonts w:cs="Times New Roman"/>
        <w:b/>
        <w:bCs/>
        <w:sz w:val="16"/>
        <w:szCs w:val="16"/>
      </w:rPr>
      <w:instrText xml:space="preserve"> HYPERLINK "http://www.periodicos.ulbra.br/index.php/acta/" </w:instrText>
    </w:r>
    <w:r w:rsidRPr="00575ECF">
      <w:rPr>
        <w:rFonts w:cs="Times New Roman"/>
        <w:b/>
        <w:bCs/>
        <w:sz w:val="16"/>
        <w:szCs w:val="16"/>
      </w:rPr>
      <w:fldChar w:fldCharType="separate"/>
    </w:r>
    <w:r w:rsidRPr="00575ECF">
      <w:rPr>
        <w:rStyle w:val="Hyperlink"/>
        <w:rFonts w:cs="Times New Roman"/>
        <w:b/>
        <w:bCs/>
        <w:color w:val="auto"/>
        <w:sz w:val="16"/>
        <w:szCs w:val="16"/>
        <w:u w:val="none"/>
      </w:rPr>
      <w:t>ISSN</w:t>
    </w:r>
    <w:r w:rsidRPr="00575ECF">
      <w:rPr>
        <w:rStyle w:val="Hyperlink"/>
        <w:rFonts w:cs="Times New Roman"/>
        <w:color w:val="auto"/>
        <w:sz w:val="16"/>
        <w:szCs w:val="16"/>
        <w:u w:val="none"/>
      </w:rPr>
      <w:t>: 2178-7727</w:t>
    </w:r>
    <w:r w:rsidRPr="00575ECF">
      <w:rPr>
        <w:rFonts w:cs="Times New Roman"/>
        <w:b/>
        <w:bCs/>
        <w:sz w:val="16"/>
        <w:szCs w:val="16"/>
      </w:rPr>
      <w:fldChar w:fldCharType="end"/>
    </w:r>
  </w:p>
  <w:bookmarkEnd w:id="23"/>
  <w:p w14:paraId="754A98B2" w14:textId="09027751" w:rsidR="00575ECF" w:rsidRPr="00575ECF" w:rsidRDefault="00575ECF" w:rsidP="00575ECF">
    <w:pPr>
      <w:jc w:val="right"/>
      <w:rPr>
        <w:rStyle w:val="Hyperlink"/>
        <w:rFonts w:cs="Times New Roman"/>
        <w:color w:val="auto"/>
        <w:sz w:val="16"/>
        <w:szCs w:val="16"/>
        <w:u w:val="none"/>
      </w:rPr>
    </w:pPr>
    <w:r w:rsidRPr="00575ECF">
      <w:rPr>
        <w:rFonts w:cs="Times New Roman"/>
        <w:b/>
        <w:bCs/>
        <w:sz w:val="16"/>
        <w:szCs w:val="16"/>
        <w:lang w:val="pt-PT" w:eastAsia="pt-PT"/>
      </w:rPr>
      <w:fldChar w:fldCharType="begin"/>
    </w:r>
    <w:r>
      <w:rPr>
        <w:rFonts w:cs="Times New Roman"/>
        <w:b/>
        <w:bCs/>
        <w:sz w:val="16"/>
        <w:szCs w:val="16"/>
        <w:lang w:val="pt-PT" w:eastAsia="pt-PT"/>
      </w:rPr>
      <w:instrText>HYPERLINK "https://doi.org/10.17648/acta.scientiae.XXXX"</w:instrText>
    </w:r>
    <w:r w:rsidRPr="00575ECF">
      <w:rPr>
        <w:rFonts w:cs="Times New Roman"/>
        <w:b/>
        <w:bCs/>
        <w:sz w:val="16"/>
        <w:szCs w:val="16"/>
        <w:lang w:val="pt-PT" w:eastAsia="pt-PT"/>
      </w:rPr>
      <w:fldChar w:fldCharType="separate"/>
    </w:r>
    <w:r w:rsidRPr="00575ECF">
      <w:rPr>
        <w:rStyle w:val="Hyperlink"/>
        <w:rFonts w:cs="Times New Roman"/>
        <w:b/>
        <w:bCs/>
        <w:color w:val="auto"/>
        <w:sz w:val="16"/>
        <w:szCs w:val="16"/>
        <w:u w:val="none"/>
      </w:rPr>
      <w:t>DOI</w:t>
    </w:r>
    <w:r w:rsidRPr="00575ECF">
      <w:rPr>
        <w:rStyle w:val="Hyperlink"/>
        <w:rFonts w:cs="Times New Roman"/>
        <w:color w:val="auto"/>
        <w:sz w:val="16"/>
        <w:szCs w:val="16"/>
        <w:u w:val="none"/>
      </w:rPr>
      <w:t>: 10.17648/</w:t>
    </w:r>
    <w:proofErr w:type="spellStart"/>
    <w:r w:rsidRPr="00575ECF">
      <w:rPr>
        <w:rStyle w:val="Hyperlink"/>
        <w:rFonts w:cs="Times New Roman"/>
        <w:color w:val="auto"/>
        <w:sz w:val="16"/>
        <w:szCs w:val="16"/>
        <w:u w:val="none"/>
      </w:rPr>
      <w:t>acta.scientiae.</w:t>
    </w:r>
    <w:bookmarkEnd w:id="24"/>
    <w:r>
      <w:rPr>
        <w:rStyle w:val="Hyperlink"/>
        <w:rFonts w:cs="Times New Roman"/>
        <w:color w:val="auto"/>
        <w:sz w:val="16"/>
        <w:szCs w:val="16"/>
        <w:u w:val="none"/>
      </w:rPr>
      <w:t>XXXX</w:t>
    </w:r>
    <w:proofErr w:type="spellEnd"/>
  </w:p>
  <w:p w14:paraId="49D0EA69" w14:textId="77777777" w:rsidR="00575ECF" w:rsidRPr="00575ECF" w:rsidRDefault="00575ECF" w:rsidP="00575ECF">
    <w:pPr>
      <w:pStyle w:val="Cabealho"/>
      <w:rPr>
        <w:rFonts w:cs="Times New Roman"/>
        <w:sz w:val="16"/>
        <w:szCs w:val="16"/>
      </w:rPr>
    </w:pPr>
    <w:r w:rsidRPr="00575ECF">
      <w:rPr>
        <w:rFonts w:cs="Times New Roman"/>
        <w:b/>
        <w:bCs/>
        <w:sz w:val="16"/>
        <w:szCs w:val="16"/>
      </w:rPr>
      <w:fldChar w:fldCharType="end"/>
    </w:r>
  </w:p>
  <w:p w14:paraId="3B5F7F47" w14:textId="77777777" w:rsidR="007D7CC8" w:rsidRPr="00575ECF" w:rsidRDefault="007D7CC8">
    <w:pPr>
      <w:pStyle w:val="Cabealho"/>
      <w:rPr>
        <w:rFonts w:cs="Times New Roman"/>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306D1"/>
    <w:multiLevelType w:val="hybridMultilevel"/>
    <w:tmpl w:val="13AAC1CE"/>
    <w:lvl w:ilvl="0" w:tplc="DF2AF41A">
      <w:numFmt w:val="bullet"/>
      <w:lvlText w:val=""/>
      <w:lvlJc w:val="left"/>
      <w:pPr>
        <w:ind w:left="1068" w:hanging="360"/>
      </w:pPr>
      <w:rPr>
        <w:rFonts w:ascii="Symbol" w:eastAsiaTheme="minorHAnsi" w:hAnsi="Symbol"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
    <w:nsid w:val="0A911D78"/>
    <w:multiLevelType w:val="hybridMultilevel"/>
    <w:tmpl w:val="61044F50"/>
    <w:lvl w:ilvl="0" w:tplc="20526372">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
    <w:nsid w:val="134E479B"/>
    <w:multiLevelType w:val="hybridMultilevel"/>
    <w:tmpl w:val="963E34E4"/>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3">
    <w:nsid w:val="1C047E05"/>
    <w:multiLevelType w:val="hybridMultilevel"/>
    <w:tmpl w:val="D0725A9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1F065EF7"/>
    <w:multiLevelType w:val="hybridMultilevel"/>
    <w:tmpl w:val="A8D44904"/>
    <w:lvl w:ilvl="0" w:tplc="410E201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2E1763BA"/>
    <w:multiLevelType w:val="hybridMultilevel"/>
    <w:tmpl w:val="09A45B22"/>
    <w:lvl w:ilvl="0" w:tplc="78AA97F4">
      <w:numFmt w:val="bullet"/>
      <w:lvlText w:val=""/>
      <w:lvlJc w:val="left"/>
      <w:pPr>
        <w:ind w:left="720" w:hanging="360"/>
      </w:pPr>
      <w:rPr>
        <w:rFonts w:ascii="Symbol" w:eastAsia="SimSun" w:hAnsi="Symbol" w:cs="Mang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62C41F9"/>
    <w:multiLevelType w:val="hybridMultilevel"/>
    <w:tmpl w:val="637CF52C"/>
    <w:lvl w:ilvl="0" w:tplc="1A883E76">
      <w:start w:val="1"/>
      <w:numFmt w:val="bullet"/>
      <w:lvlText w:val=""/>
      <w:lvlJc w:val="left"/>
      <w:pPr>
        <w:ind w:left="720" w:hanging="360"/>
      </w:pPr>
      <w:rPr>
        <w:rFonts w:ascii="Symbol" w:hAnsi="Symbol" w:hint="default"/>
      </w:rPr>
    </w:lvl>
    <w:lvl w:ilvl="1" w:tplc="869220DE">
      <w:start w:val="1"/>
      <w:numFmt w:val="bullet"/>
      <w:lvlText w:val="o"/>
      <w:lvlJc w:val="left"/>
      <w:pPr>
        <w:ind w:left="1440" w:hanging="360"/>
      </w:pPr>
      <w:rPr>
        <w:rFonts w:ascii="Courier New" w:hAnsi="Courier New" w:hint="default"/>
      </w:rPr>
    </w:lvl>
    <w:lvl w:ilvl="2" w:tplc="2C9E300A">
      <w:start w:val="1"/>
      <w:numFmt w:val="bullet"/>
      <w:lvlText w:val=""/>
      <w:lvlJc w:val="left"/>
      <w:pPr>
        <w:ind w:left="2160" w:hanging="360"/>
      </w:pPr>
      <w:rPr>
        <w:rFonts w:ascii="Wingdings" w:hAnsi="Wingdings" w:hint="default"/>
      </w:rPr>
    </w:lvl>
    <w:lvl w:ilvl="3" w:tplc="650252CC">
      <w:start w:val="1"/>
      <w:numFmt w:val="bullet"/>
      <w:lvlText w:val=""/>
      <w:lvlJc w:val="left"/>
      <w:pPr>
        <w:ind w:left="2880" w:hanging="360"/>
      </w:pPr>
      <w:rPr>
        <w:rFonts w:ascii="Symbol" w:hAnsi="Symbol" w:hint="default"/>
      </w:rPr>
    </w:lvl>
    <w:lvl w:ilvl="4" w:tplc="EEA82114">
      <w:start w:val="1"/>
      <w:numFmt w:val="bullet"/>
      <w:lvlText w:val="o"/>
      <w:lvlJc w:val="left"/>
      <w:pPr>
        <w:ind w:left="3600" w:hanging="360"/>
      </w:pPr>
      <w:rPr>
        <w:rFonts w:ascii="Courier New" w:hAnsi="Courier New" w:hint="default"/>
      </w:rPr>
    </w:lvl>
    <w:lvl w:ilvl="5" w:tplc="3F2A9506">
      <w:start w:val="1"/>
      <w:numFmt w:val="bullet"/>
      <w:lvlText w:val=""/>
      <w:lvlJc w:val="left"/>
      <w:pPr>
        <w:ind w:left="4320" w:hanging="360"/>
      </w:pPr>
      <w:rPr>
        <w:rFonts w:ascii="Wingdings" w:hAnsi="Wingdings" w:hint="default"/>
      </w:rPr>
    </w:lvl>
    <w:lvl w:ilvl="6" w:tplc="7D8CEBD6">
      <w:start w:val="1"/>
      <w:numFmt w:val="bullet"/>
      <w:lvlText w:val=""/>
      <w:lvlJc w:val="left"/>
      <w:pPr>
        <w:ind w:left="5040" w:hanging="360"/>
      </w:pPr>
      <w:rPr>
        <w:rFonts w:ascii="Symbol" w:hAnsi="Symbol" w:hint="default"/>
      </w:rPr>
    </w:lvl>
    <w:lvl w:ilvl="7" w:tplc="F24A9F4A">
      <w:start w:val="1"/>
      <w:numFmt w:val="bullet"/>
      <w:lvlText w:val="o"/>
      <w:lvlJc w:val="left"/>
      <w:pPr>
        <w:ind w:left="5760" w:hanging="360"/>
      </w:pPr>
      <w:rPr>
        <w:rFonts w:ascii="Courier New" w:hAnsi="Courier New" w:hint="default"/>
      </w:rPr>
    </w:lvl>
    <w:lvl w:ilvl="8" w:tplc="7602B1BA">
      <w:start w:val="1"/>
      <w:numFmt w:val="bullet"/>
      <w:lvlText w:val=""/>
      <w:lvlJc w:val="left"/>
      <w:pPr>
        <w:ind w:left="6480" w:hanging="360"/>
      </w:pPr>
      <w:rPr>
        <w:rFonts w:ascii="Wingdings" w:hAnsi="Wingdings" w:hint="default"/>
      </w:rPr>
    </w:lvl>
  </w:abstractNum>
  <w:abstractNum w:abstractNumId="7">
    <w:nsid w:val="4A4D3CFF"/>
    <w:multiLevelType w:val="hybridMultilevel"/>
    <w:tmpl w:val="61B83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0E93962"/>
    <w:multiLevelType w:val="hybridMultilevel"/>
    <w:tmpl w:val="4A54C9FE"/>
    <w:lvl w:ilvl="0" w:tplc="BF84ACD0">
      <w:start w:val="1"/>
      <w:numFmt w:val="bullet"/>
      <w:lvlText w:val=""/>
      <w:lvlJc w:val="left"/>
      <w:pPr>
        <w:ind w:left="720" w:hanging="360"/>
      </w:pPr>
      <w:rPr>
        <w:rFonts w:ascii="Symbol" w:hAnsi="Symbol" w:hint="default"/>
      </w:rPr>
    </w:lvl>
    <w:lvl w:ilvl="1" w:tplc="3E7EF0F4">
      <w:start w:val="1"/>
      <w:numFmt w:val="bullet"/>
      <w:lvlText w:val="o"/>
      <w:lvlJc w:val="left"/>
      <w:pPr>
        <w:ind w:left="1440" w:hanging="360"/>
      </w:pPr>
      <w:rPr>
        <w:rFonts w:ascii="Courier New" w:hAnsi="Courier New" w:hint="default"/>
      </w:rPr>
    </w:lvl>
    <w:lvl w:ilvl="2" w:tplc="6A6C3FAA">
      <w:start w:val="1"/>
      <w:numFmt w:val="bullet"/>
      <w:lvlText w:val=""/>
      <w:lvlJc w:val="left"/>
      <w:pPr>
        <w:ind w:left="2160" w:hanging="360"/>
      </w:pPr>
      <w:rPr>
        <w:rFonts w:ascii="Wingdings" w:hAnsi="Wingdings" w:hint="default"/>
      </w:rPr>
    </w:lvl>
    <w:lvl w:ilvl="3" w:tplc="AAE806B4">
      <w:start w:val="1"/>
      <w:numFmt w:val="bullet"/>
      <w:lvlText w:val=""/>
      <w:lvlJc w:val="left"/>
      <w:pPr>
        <w:ind w:left="2880" w:hanging="360"/>
      </w:pPr>
      <w:rPr>
        <w:rFonts w:ascii="Symbol" w:hAnsi="Symbol" w:hint="default"/>
      </w:rPr>
    </w:lvl>
    <w:lvl w:ilvl="4" w:tplc="A68CE4AE">
      <w:start w:val="1"/>
      <w:numFmt w:val="bullet"/>
      <w:lvlText w:val="o"/>
      <w:lvlJc w:val="left"/>
      <w:pPr>
        <w:ind w:left="3600" w:hanging="360"/>
      </w:pPr>
      <w:rPr>
        <w:rFonts w:ascii="Courier New" w:hAnsi="Courier New" w:hint="default"/>
      </w:rPr>
    </w:lvl>
    <w:lvl w:ilvl="5" w:tplc="63B0DF2C">
      <w:start w:val="1"/>
      <w:numFmt w:val="bullet"/>
      <w:lvlText w:val=""/>
      <w:lvlJc w:val="left"/>
      <w:pPr>
        <w:ind w:left="4320" w:hanging="360"/>
      </w:pPr>
      <w:rPr>
        <w:rFonts w:ascii="Wingdings" w:hAnsi="Wingdings" w:hint="default"/>
      </w:rPr>
    </w:lvl>
    <w:lvl w:ilvl="6" w:tplc="2764731C">
      <w:start w:val="1"/>
      <w:numFmt w:val="bullet"/>
      <w:lvlText w:val=""/>
      <w:lvlJc w:val="left"/>
      <w:pPr>
        <w:ind w:left="5040" w:hanging="360"/>
      </w:pPr>
      <w:rPr>
        <w:rFonts w:ascii="Symbol" w:hAnsi="Symbol" w:hint="default"/>
      </w:rPr>
    </w:lvl>
    <w:lvl w:ilvl="7" w:tplc="63788C8C">
      <w:start w:val="1"/>
      <w:numFmt w:val="bullet"/>
      <w:lvlText w:val="o"/>
      <w:lvlJc w:val="left"/>
      <w:pPr>
        <w:ind w:left="5760" w:hanging="360"/>
      </w:pPr>
      <w:rPr>
        <w:rFonts w:ascii="Courier New" w:hAnsi="Courier New" w:hint="default"/>
      </w:rPr>
    </w:lvl>
    <w:lvl w:ilvl="8" w:tplc="62A4AF92">
      <w:start w:val="1"/>
      <w:numFmt w:val="bullet"/>
      <w:lvlText w:val=""/>
      <w:lvlJc w:val="left"/>
      <w:pPr>
        <w:ind w:left="6480" w:hanging="360"/>
      </w:pPr>
      <w:rPr>
        <w:rFonts w:ascii="Wingdings" w:hAnsi="Wingdings" w:hint="default"/>
      </w:rPr>
    </w:lvl>
  </w:abstractNum>
  <w:abstractNum w:abstractNumId="9">
    <w:nsid w:val="58F56CB4"/>
    <w:multiLevelType w:val="hybridMultilevel"/>
    <w:tmpl w:val="074C3FFC"/>
    <w:lvl w:ilvl="0" w:tplc="10969360">
      <w:start w:val="1"/>
      <w:numFmt w:val="bullet"/>
      <w:lvlText w:val=""/>
      <w:lvlJc w:val="left"/>
      <w:pPr>
        <w:ind w:left="720" w:hanging="360"/>
      </w:pPr>
      <w:rPr>
        <w:rFonts w:ascii="Symbol" w:hAnsi="Symbol" w:hint="default"/>
      </w:rPr>
    </w:lvl>
    <w:lvl w:ilvl="1" w:tplc="31BAF214">
      <w:start w:val="1"/>
      <w:numFmt w:val="bullet"/>
      <w:lvlText w:val="o"/>
      <w:lvlJc w:val="left"/>
      <w:pPr>
        <w:ind w:left="1440" w:hanging="360"/>
      </w:pPr>
      <w:rPr>
        <w:rFonts w:ascii="Courier New" w:hAnsi="Courier New" w:hint="default"/>
      </w:rPr>
    </w:lvl>
    <w:lvl w:ilvl="2" w:tplc="A5DA0610">
      <w:start w:val="1"/>
      <w:numFmt w:val="bullet"/>
      <w:lvlText w:val=""/>
      <w:lvlJc w:val="left"/>
      <w:pPr>
        <w:ind w:left="2160" w:hanging="360"/>
      </w:pPr>
      <w:rPr>
        <w:rFonts w:ascii="Wingdings" w:hAnsi="Wingdings" w:hint="default"/>
      </w:rPr>
    </w:lvl>
    <w:lvl w:ilvl="3" w:tplc="F35498CE">
      <w:start w:val="1"/>
      <w:numFmt w:val="bullet"/>
      <w:lvlText w:val=""/>
      <w:lvlJc w:val="left"/>
      <w:pPr>
        <w:ind w:left="2880" w:hanging="360"/>
      </w:pPr>
      <w:rPr>
        <w:rFonts w:ascii="Symbol" w:hAnsi="Symbol" w:hint="default"/>
      </w:rPr>
    </w:lvl>
    <w:lvl w:ilvl="4" w:tplc="AC1AE79E">
      <w:start w:val="1"/>
      <w:numFmt w:val="bullet"/>
      <w:lvlText w:val="o"/>
      <w:lvlJc w:val="left"/>
      <w:pPr>
        <w:ind w:left="3600" w:hanging="360"/>
      </w:pPr>
      <w:rPr>
        <w:rFonts w:ascii="Courier New" w:hAnsi="Courier New" w:hint="default"/>
      </w:rPr>
    </w:lvl>
    <w:lvl w:ilvl="5" w:tplc="185A85AE">
      <w:start w:val="1"/>
      <w:numFmt w:val="bullet"/>
      <w:lvlText w:val=""/>
      <w:lvlJc w:val="left"/>
      <w:pPr>
        <w:ind w:left="4320" w:hanging="360"/>
      </w:pPr>
      <w:rPr>
        <w:rFonts w:ascii="Wingdings" w:hAnsi="Wingdings" w:hint="default"/>
      </w:rPr>
    </w:lvl>
    <w:lvl w:ilvl="6" w:tplc="079A0EEC">
      <w:start w:val="1"/>
      <w:numFmt w:val="bullet"/>
      <w:lvlText w:val=""/>
      <w:lvlJc w:val="left"/>
      <w:pPr>
        <w:ind w:left="5040" w:hanging="360"/>
      </w:pPr>
      <w:rPr>
        <w:rFonts w:ascii="Symbol" w:hAnsi="Symbol" w:hint="default"/>
      </w:rPr>
    </w:lvl>
    <w:lvl w:ilvl="7" w:tplc="E266190C">
      <w:start w:val="1"/>
      <w:numFmt w:val="bullet"/>
      <w:lvlText w:val="o"/>
      <w:lvlJc w:val="left"/>
      <w:pPr>
        <w:ind w:left="5760" w:hanging="360"/>
      </w:pPr>
      <w:rPr>
        <w:rFonts w:ascii="Courier New" w:hAnsi="Courier New" w:hint="default"/>
      </w:rPr>
    </w:lvl>
    <w:lvl w:ilvl="8" w:tplc="49B07652">
      <w:start w:val="1"/>
      <w:numFmt w:val="bullet"/>
      <w:lvlText w:val=""/>
      <w:lvlJc w:val="left"/>
      <w:pPr>
        <w:ind w:left="6480" w:hanging="360"/>
      </w:pPr>
      <w:rPr>
        <w:rFonts w:ascii="Wingdings" w:hAnsi="Wingdings" w:hint="default"/>
      </w:rPr>
    </w:lvl>
  </w:abstractNum>
  <w:abstractNum w:abstractNumId="10">
    <w:nsid w:val="5E3A2D28"/>
    <w:multiLevelType w:val="hybridMultilevel"/>
    <w:tmpl w:val="49F0E282"/>
    <w:lvl w:ilvl="0" w:tplc="549C4F0E">
      <w:start w:val="1"/>
      <w:numFmt w:val="bullet"/>
      <w:lvlText w:val=""/>
      <w:lvlJc w:val="left"/>
      <w:pPr>
        <w:ind w:left="720" w:hanging="360"/>
      </w:pPr>
      <w:rPr>
        <w:rFonts w:ascii="Symbol" w:hAnsi="Symbol" w:hint="default"/>
      </w:rPr>
    </w:lvl>
    <w:lvl w:ilvl="1" w:tplc="45207256">
      <w:start w:val="1"/>
      <w:numFmt w:val="bullet"/>
      <w:lvlText w:val="o"/>
      <w:lvlJc w:val="left"/>
      <w:pPr>
        <w:ind w:left="1440" w:hanging="360"/>
      </w:pPr>
      <w:rPr>
        <w:rFonts w:ascii="Courier New" w:hAnsi="Courier New" w:hint="default"/>
      </w:rPr>
    </w:lvl>
    <w:lvl w:ilvl="2" w:tplc="E3F0EDDE">
      <w:start w:val="1"/>
      <w:numFmt w:val="bullet"/>
      <w:lvlText w:val=""/>
      <w:lvlJc w:val="left"/>
      <w:pPr>
        <w:ind w:left="2160" w:hanging="360"/>
      </w:pPr>
      <w:rPr>
        <w:rFonts w:ascii="Wingdings" w:hAnsi="Wingdings" w:hint="default"/>
      </w:rPr>
    </w:lvl>
    <w:lvl w:ilvl="3" w:tplc="108884D4">
      <w:start w:val="1"/>
      <w:numFmt w:val="bullet"/>
      <w:lvlText w:val=""/>
      <w:lvlJc w:val="left"/>
      <w:pPr>
        <w:ind w:left="2880" w:hanging="360"/>
      </w:pPr>
      <w:rPr>
        <w:rFonts w:ascii="Symbol" w:hAnsi="Symbol" w:hint="default"/>
      </w:rPr>
    </w:lvl>
    <w:lvl w:ilvl="4" w:tplc="30D0F610">
      <w:start w:val="1"/>
      <w:numFmt w:val="bullet"/>
      <w:lvlText w:val="o"/>
      <w:lvlJc w:val="left"/>
      <w:pPr>
        <w:ind w:left="3600" w:hanging="360"/>
      </w:pPr>
      <w:rPr>
        <w:rFonts w:ascii="Courier New" w:hAnsi="Courier New" w:hint="default"/>
      </w:rPr>
    </w:lvl>
    <w:lvl w:ilvl="5" w:tplc="6EDA3C90">
      <w:start w:val="1"/>
      <w:numFmt w:val="bullet"/>
      <w:lvlText w:val=""/>
      <w:lvlJc w:val="left"/>
      <w:pPr>
        <w:ind w:left="4320" w:hanging="360"/>
      </w:pPr>
      <w:rPr>
        <w:rFonts w:ascii="Wingdings" w:hAnsi="Wingdings" w:hint="default"/>
      </w:rPr>
    </w:lvl>
    <w:lvl w:ilvl="6" w:tplc="E40AD79E">
      <w:start w:val="1"/>
      <w:numFmt w:val="bullet"/>
      <w:lvlText w:val=""/>
      <w:lvlJc w:val="left"/>
      <w:pPr>
        <w:ind w:left="5040" w:hanging="360"/>
      </w:pPr>
      <w:rPr>
        <w:rFonts w:ascii="Symbol" w:hAnsi="Symbol" w:hint="default"/>
      </w:rPr>
    </w:lvl>
    <w:lvl w:ilvl="7" w:tplc="714A99EE">
      <w:start w:val="1"/>
      <w:numFmt w:val="bullet"/>
      <w:lvlText w:val="o"/>
      <w:lvlJc w:val="left"/>
      <w:pPr>
        <w:ind w:left="5760" w:hanging="360"/>
      </w:pPr>
      <w:rPr>
        <w:rFonts w:ascii="Courier New" w:hAnsi="Courier New" w:hint="default"/>
      </w:rPr>
    </w:lvl>
    <w:lvl w:ilvl="8" w:tplc="B8B8F3D4">
      <w:start w:val="1"/>
      <w:numFmt w:val="bullet"/>
      <w:lvlText w:val=""/>
      <w:lvlJc w:val="left"/>
      <w:pPr>
        <w:ind w:left="6480" w:hanging="360"/>
      </w:pPr>
      <w:rPr>
        <w:rFonts w:ascii="Wingdings" w:hAnsi="Wingdings" w:hint="default"/>
      </w:rPr>
    </w:lvl>
  </w:abstractNum>
  <w:abstractNum w:abstractNumId="11">
    <w:nsid w:val="6BF15368"/>
    <w:multiLevelType w:val="hybridMultilevel"/>
    <w:tmpl w:val="A23C569A"/>
    <w:lvl w:ilvl="0" w:tplc="8C54FF8E">
      <w:start w:val="1"/>
      <w:numFmt w:val="bullet"/>
      <w:lvlText w:val="-"/>
      <w:lvlJc w:val="left"/>
      <w:pPr>
        <w:ind w:left="1080" w:hanging="360"/>
      </w:pPr>
      <w:rPr>
        <w:rFonts w:ascii="Times New Roman" w:eastAsia="SimSu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735F4246"/>
    <w:multiLevelType w:val="hybridMultilevel"/>
    <w:tmpl w:val="783AEDB2"/>
    <w:lvl w:ilvl="0" w:tplc="7F9862CC">
      <w:start w:val="1"/>
      <w:numFmt w:val="bullet"/>
      <w:lvlText w:val=""/>
      <w:lvlJc w:val="left"/>
      <w:pPr>
        <w:ind w:left="720" w:hanging="360"/>
      </w:pPr>
      <w:rPr>
        <w:rFonts w:ascii="Symbol" w:hAnsi="Symbol" w:hint="default"/>
      </w:rPr>
    </w:lvl>
    <w:lvl w:ilvl="1" w:tplc="95D0F280">
      <w:start w:val="1"/>
      <w:numFmt w:val="bullet"/>
      <w:lvlText w:val="o"/>
      <w:lvlJc w:val="left"/>
      <w:pPr>
        <w:ind w:left="1440" w:hanging="360"/>
      </w:pPr>
      <w:rPr>
        <w:rFonts w:ascii="Courier New" w:hAnsi="Courier New" w:hint="default"/>
      </w:rPr>
    </w:lvl>
    <w:lvl w:ilvl="2" w:tplc="9D1262C4">
      <w:start w:val="1"/>
      <w:numFmt w:val="bullet"/>
      <w:lvlText w:val=""/>
      <w:lvlJc w:val="left"/>
      <w:pPr>
        <w:ind w:left="2160" w:hanging="360"/>
      </w:pPr>
      <w:rPr>
        <w:rFonts w:ascii="Wingdings" w:hAnsi="Wingdings" w:hint="default"/>
      </w:rPr>
    </w:lvl>
    <w:lvl w:ilvl="3" w:tplc="7F8CBF04">
      <w:start w:val="1"/>
      <w:numFmt w:val="bullet"/>
      <w:lvlText w:val=""/>
      <w:lvlJc w:val="left"/>
      <w:pPr>
        <w:ind w:left="2880" w:hanging="360"/>
      </w:pPr>
      <w:rPr>
        <w:rFonts w:ascii="Symbol" w:hAnsi="Symbol" w:hint="default"/>
      </w:rPr>
    </w:lvl>
    <w:lvl w:ilvl="4" w:tplc="895E6556">
      <w:start w:val="1"/>
      <w:numFmt w:val="bullet"/>
      <w:lvlText w:val="o"/>
      <w:lvlJc w:val="left"/>
      <w:pPr>
        <w:ind w:left="3600" w:hanging="360"/>
      </w:pPr>
      <w:rPr>
        <w:rFonts w:ascii="Courier New" w:hAnsi="Courier New" w:hint="default"/>
      </w:rPr>
    </w:lvl>
    <w:lvl w:ilvl="5" w:tplc="0A804298">
      <w:start w:val="1"/>
      <w:numFmt w:val="bullet"/>
      <w:lvlText w:val=""/>
      <w:lvlJc w:val="left"/>
      <w:pPr>
        <w:ind w:left="4320" w:hanging="360"/>
      </w:pPr>
      <w:rPr>
        <w:rFonts w:ascii="Wingdings" w:hAnsi="Wingdings" w:hint="default"/>
      </w:rPr>
    </w:lvl>
    <w:lvl w:ilvl="6" w:tplc="1ECE4BFE">
      <w:start w:val="1"/>
      <w:numFmt w:val="bullet"/>
      <w:lvlText w:val=""/>
      <w:lvlJc w:val="left"/>
      <w:pPr>
        <w:ind w:left="5040" w:hanging="360"/>
      </w:pPr>
      <w:rPr>
        <w:rFonts w:ascii="Symbol" w:hAnsi="Symbol" w:hint="default"/>
      </w:rPr>
    </w:lvl>
    <w:lvl w:ilvl="7" w:tplc="AA82EC3A">
      <w:start w:val="1"/>
      <w:numFmt w:val="bullet"/>
      <w:lvlText w:val="o"/>
      <w:lvlJc w:val="left"/>
      <w:pPr>
        <w:ind w:left="5760" w:hanging="360"/>
      </w:pPr>
      <w:rPr>
        <w:rFonts w:ascii="Courier New" w:hAnsi="Courier New" w:hint="default"/>
      </w:rPr>
    </w:lvl>
    <w:lvl w:ilvl="8" w:tplc="320C48F2">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2"/>
  </w:num>
  <w:num w:numId="4">
    <w:abstractNumId w:val="10"/>
  </w:num>
  <w:num w:numId="5">
    <w:abstractNumId w:val="6"/>
  </w:num>
  <w:num w:numId="6">
    <w:abstractNumId w:val="2"/>
  </w:num>
  <w:num w:numId="7">
    <w:abstractNumId w:val="5"/>
  </w:num>
  <w:num w:numId="8">
    <w:abstractNumId w:val="3"/>
  </w:num>
  <w:num w:numId="9">
    <w:abstractNumId w:val="7"/>
  </w:num>
  <w:num w:numId="10">
    <w:abstractNumId w:val="4"/>
  </w:num>
  <w:num w:numId="11">
    <w:abstractNumId w:val="0"/>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c3MDazMDU0tTAxMjdW0lEKTi0uzszPAykwNKkFANs+syEtAAAA"/>
  </w:docVars>
  <w:rsids>
    <w:rsidRoot w:val="00C55021"/>
    <w:rsid w:val="00007D11"/>
    <w:rsid w:val="000112D5"/>
    <w:rsid w:val="00014F6E"/>
    <w:rsid w:val="00021D44"/>
    <w:rsid w:val="00023C80"/>
    <w:rsid w:val="00024160"/>
    <w:rsid w:val="00024A82"/>
    <w:rsid w:val="000311A3"/>
    <w:rsid w:val="00033CB1"/>
    <w:rsid w:val="00035F8F"/>
    <w:rsid w:val="00037A9F"/>
    <w:rsid w:val="00045758"/>
    <w:rsid w:val="0004786B"/>
    <w:rsid w:val="00052D2B"/>
    <w:rsid w:val="00056F25"/>
    <w:rsid w:val="0006422C"/>
    <w:rsid w:val="00065F8B"/>
    <w:rsid w:val="00074455"/>
    <w:rsid w:val="00075D06"/>
    <w:rsid w:val="00093F33"/>
    <w:rsid w:val="000A0325"/>
    <w:rsid w:val="000A5EAA"/>
    <w:rsid w:val="000B6673"/>
    <w:rsid w:val="000C3415"/>
    <w:rsid w:val="000C5C15"/>
    <w:rsid w:val="000E0743"/>
    <w:rsid w:val="000E2BF2"/>
    <w:rsid w:val="000E36B9"/>
    <w:rsid w:val="000E6175"/>
    <w:rsid w:val="000E6589"/>
    <w:rsid w:val="000F4091"/>
    <w:rsid w:val="000F432B"/>
    <w:rsid w:val="00103F3A"/>
    <w:rsid w:val="001058D6"/>
    <w:rsid w:val="00106537"/>
    <w:rsid w:val="00107A0B"/>
    <w:rsid w:val="00111177"/>
    <w:rsid w:val="00113355"/>
    <w:rsid w:val="00116F36"/>
    <w:rsid w:val="00125DE3"/>
    <w:rsid w:val="00130C8E"/>
    <w:rsid w:val="00134C76"/>
    <w:rsid w:val="00137617"/>
    <w:rsid w:val="00137F23"/>
    <w:rsid w:val="00140964"/>
    <w:rsid w:val="00140B53"/>
    <w:rsid w:val="00143BA4"/>
    <w:rsid w:val="00145FA3"/>
    <w:rsid w:val="00146FA9"/>
    <w:rsid w:val="00152466"/>
    <w:rsid w:val="00161C55"/>
    <w:rsid w:val="00163253"/>
    <w:rsid w:val="00164FF2"/>
    <w:rsid w:val="00171B0A"/>
    <w:rsid w:val="0017380A"/>
    <w:rsid w:val="00183E31"/>
    <w:rsid w:val="00187C67"/>
    <w:rsid w:val="001913E3"/>
    <w:rsid w:val="00197449"/>
    <w:rsid w:val="001A3ECC"/>
    <w:rsid w:val="001A6A2A"/>
    <w:rsid w:val="001B04F1"/>
    <w:rsid w:val="001B78AA"/>
    <w:rsid w:val="001C1442"/>
    <w:rsid w:val="001C3854"/>
    <w:rsid w:val="001C6302"/>
    <w:rsid w:val="001C6646"/>
    <w:rsid w:val="001D0D2A"/>
    <w:rsid w:val="001E1588"/>
    <w:rsid w:val="001E4C2C"/>
    <w:rsid w:val="001F0083"/>
    <w:rsid w:val="001F1E38"/>
    <w:rsid w:val="00203209"/>
    <w:rsid w:val="00220E2F"/>
    <w:rsid w:val="002241EE"/>
    <w:rsid w:val="0023117A"/>
    <w:rsid w:val="00232192"/>
    <w:rsid w:val="00236381"/>
    <w:rsid w:val="002412DF"/>
    <w:rsid w:val="00241F5B"/>
    <w:rsid w:val="00250469"/>
    <w:rsid w:val="002512FC"/>
    <w:rsid w:val="00281D79"/>
    <w:rsid w:val="002A4F9E"/>
    <w:rsid w:val="002A7CB3"/>
    <w:rsid w:val="002C26E0"/>
    <w:rsid w:val="002C3642"/>
    <w:rsid w:val="002C4BC1"/>
    <w:rsid w:val="002C6323"/>
    <w:rsid w:val="002D60A0"/>
    <w:rsid w:val="002E194B"/>
    <w:rsid w:val="002E1964"/>
    <w:rsid w:val="002E2F85"/>
    <w:rsid w:val="002E5061"/>
    <w:rsid w:val="002F12AC"/>
    <w:rsid w:val="002F1729"/>
    <w:rsid w:val="002F4554"/>
    <w:rsid w:val="0030447A"/>
    <w:rsid w:val="00305D14"/>
    <w:rsid w:val="003102E2"/>
    <w:rsid w:val="003174BF"/>
    <w:rsid w:val="003317D3"/>
    <w:rsid w:val="00336767"/>
    <w:rsid w:val="00351D23"/>
    <w:rsid w:val="00352A2C"/>
    <w:rsid w:val="00352E76"/>
    <w:rsid w:val="00354577"/>
    <w:rsid w:val="00360AC0"/>
    <w:rsid w:val="0036144E"/>
    <w:rsid w:val="003616E5"/>
    <w:rsid w:val="00363EF7"/>
    <w:rsid w:val="00381F7F"/>
    <w:rsid w:val="00382318"/>
    <w:rsid w:val="0038688E"/>
    <w:rsid w:val="00395FB1"/>
    <w:rsid w:val="00396E40"/>
    <w:rsid w:val="003A2F5F"/>
    <w:rsid w:val="003A6EE9"/>
    <w:rsid w:val="003A72F8"/>
    <w:rsid w:val="003B2092"/>
    <w:rsid w:val="003C6D89"/>
    <w:rsid w:val="003C763D"/>
    <w:rsid w:val="003D7E40"/>
    <w:rsid w:val="003E0D9A"/>
    <w:rsid w:val="003E6340"/>
    <w:rsid w:val="003F3C95"/>
    <w:rsid w:val="003F46D4"/>
    <w:rsid w:val="003F5875"/>
    <w:rsid w:val="003F6E5C"/>
    <w:rsid w:val="004013D4"/>
    <w:rsid w:val="00411407"/>
    <w:rsid w:val="0041224A"/>
    <w:rsid w:val="00425D91"/>
    <w:rsid w:val="00434B83"/>
    <w:rsid w:val="0043767E"/>
    <w:rsid w:val="004522B2"/>
    <w:rsid w:val="004839E6"/>
    <w:rsid w:val="0048500F"/>
    <w:rsid w:val="004865E2"/>
    <w:rsid w:val="0049335B"/>
    <w:rsid w:val="004960B2"/>
    <w:rsid w:val="004A3511"/>
    <w:rsid w:val="004A711C"/>
    <w:rsid w:val="004A76B4"/>
    <w:rsid w:val="004B5CF0"/>
    <w:rsid w:val="004C48EE"/>
    <w:rsid w:val="004C4D81"/>
    <w:rsid w:val="004D03AF"/>
    <w:rsid w:val="004D1992"/>
    <w:rsid w:val="004D260A"/>
    <w:rsid w:val="004E0094"/>
    <w:rsid w:val="004E7659"/>
    <w:rsid w:val="004F2FE1"/>
    <w:rsid w:val="0050334C"/>
    <w:rsid w:val="00505111"/>
    <w:rsid w:val="00505258"/>
    <w:rsid w:val="005062BD"/>
    <w:rsid w:val="0051096E"/>
    <w:rsid w:val="00511CEC"/>
    <w:rsid w:val="0051713A"/>
    <w:rsid w:val="00520AD4"/>
    <w:rsid w:val="0052505D"/>
    <w:rsid w:val="00532246"/>
    <w:rsid w:val="00537DC5"/>
    <w:rsid w:val="0055583C"/>
    <w:rsid w:val="00575ECF"/>
    <w:rsid w:val="00580960"/>
    <w:rsid w:val="00580FB2"/>
    <w:rsid w:val="005812B6"/>
    <w:rsid w:val="00583477"/>
    <w:rsid w:val="00585854"/>
    <w:rsid w:val="005A1717"/>
    <w:rsid w:val="005B6E35"/>
    <w:rsid w:val="005B76F7"/>
    <w:rsid w:val="005C278D"/>
    <w:rsid w:val="005C5FD9"/>
    <w:rsid w:val="005C7E51"/>
    <w:rsid w:val="005D3B82"/>
    <w:rsid w:val="005D457E"/>
    <w:rsid w:val="005E11A0"/>
    <w:rsid w:val="005E2D1C"/>
    <w:rsid w:val="005E3CF9"/>
    <w:rsid w:val="005E55C6"/>
    <w:rsid w:val="005E7701"/>
    <w:rsid w:val="006058A9"/>
    <w:rsid w:val="00606CEC"/>
    <w:rsid w:val="00613AEE"/>
    <w:rsid w:val="006157C7"/>
    <w:rsid w:val="00616698"/>
    <w:rsid w:val="00623782"/>
    <w:rsid w:val="0062535B"/>
    <w:rsid w:val="00625D8E"/>
    <w:rsid w:val="00630493"/>
    <w:rsid w:val="006340A1"/>
    <w:rsid w:val="00642B4F"/>
    <w:rsid w:val="00643906"/>
    <w:rsid w:val="00664AC8"/>
    <w:rsid w:val="006715AE"/>
    <w:rsid w:val="006754A2"/>
    <w:rsid w:val="00681564"/>
    <w:rsid w:val="0068272C"/>
    <w:rsid w:val="00683484"/>
    <w:rsid w:val="00683864"/>
    <w:rsid w:val="00687F9F"/>
    <w:rsid w:val="0069488F"/>
    <w:rsid w:val="006967A9"/>
    <w:rsid w:val="006B1BA5"/>
    <w:rsid w:val="006B77D5"/>
    <w:rsid w:val="006C358B"/>
    <w:rsid w:val="006D46BF"/>
    <w:rsid w:val="006D7B86"/>
    <w:rsid w:val="006E3897"/>
    <w:rsid w:val="006F6E3D"/>
    <w:rsid w:val="0070573E"/>
    <w:rsid w:val="00710C86"/>
    <w:rsid w:val="00720ED9"/>
    <w:rsid w:val="0073333B"/>
    <w:rsid w:val="0074067E"/>
    <w:rsid w:val="00756020"/>
    <w:rsid w:val="0076376E"/>
    <w:rsid w:val="00763D3D"/>
    <w:rsid w:val="00764E0F"/>
    <w:rsid w:val="007712D9"/>
    <w:rsid w:val="007733C5"/>
    <w:rsid w:val="007770CA"/>
    <w:rsid w:val="00777C09"/>
    <w:rsid w:val="00777D39"/>
    <w:rsid w:val="00783089"/>
    <w:rsid w:val="00786565"/>
    <w:rsid w:val="00795FD8"/>
    <w:rsid w:val="007976C2"/>
    <w:rsid w:val="007A37DD"/>
    <w:rsid w:val="007B072B"/>
    <w:rsid w:val="007B472E"/>
    <w:rsid w:val="007C481F"/>
    <w:rsid w:val="007C76A0"/>
    <w:rsid w:val="007D26D3"/>
    <w:rsid w:val="007D3794"/>
    <w:rsid w:val="007D7755"/>
    <w:rsid w:val="007D7CC8"/>
    <w:rsid w:val="007E27D3"/>
    <w:rsid w:val="007F36CA"/>
    <w:rsid w:val="007F5DAA"/>
    <w:rsid w:val="007F621E"/>
    <w:rsid w:val="008000B3"/>
    <w:rsid w:val="008012F2"/>
    <w:rsid w:val="00802E72"/>
    <w:rsid w:val="008047BA"/>
    <w:rsid w:val="00807905"/>
    <w:rsid w:val="008107D9"/>
    <w:rsid w:val="008343CF"/>
    <w:rsid w:val="008353E2"/>
    <w:rsid w:val="008370A8"/>
    <w:rsid w:val="00843FC8"/>
    <w:rsid w:val="00850BB6"/>
    <w:rsid w:val="00850C86"/>
    <w:rsid w:val="0085186C"/>
    <w:rsid w:val="00872984"/>
    <w:rsid w:val="00877A9C"/>
    <w:rsid w:val="00883025"/>
    <w:rsid w:val="0088441A"/>
    <w:rsid w:val="00896B83"/>
    <w:rsid w:val="008A40EE"/>
    <w:rsid w:val="008C19B8"/>
    <w:rsid w:val="008D091C"/>
    <w:rsid w:val="008D122F"/>
    <w:rsid w:val="008D5D8E"/>
    <w:rsid w:val="008E2F19"/>
    <w:rsid w:val="008E3341"/>
    <w:rsid w:val="008E360F"/>
    <w:rsid w:val="008E65F1"/>
    <w:rsid w:val="008E678A"/>
    <w:rsid w:val="00903715"/>
    <w:rsid w:val="009070F5"/>
    <w:rsid w:val="0091026F"/>
    <w:rsid w:val="009105CD"/>
    <w:rsid w:val="00910D87"/>
    <w:rsid w:val="009124F2"/>
    <w:rsid w:val="009257B2"/>
    <w:rsid w:val="0093046D"/>
    <w:rsid w:val="009309B7"/>
    <w:rsid w:val="009343D0"/>
    <w:rsid w:val="00944925"/>
    <w:rsid w:val="00944DD4"/>
    <w:rsid w:val="009462B5"/>
    <w:rsid w:val="0098536E"/>
    <w:rsid w:val="009911ED"/>
    <w:rsid w:val="00994860"/>
    <w:rsid w:val="009A0E1F"/>
    <w:rsid w:val="009B3A8E"/>
    <w:rsid w:val="009B4803"/>
    <w:rsid w:val="009D41AE"/>
    <w:rsid w:val="009E1BA1"/>
    <w:rsid w:val="009E651B"/>
    <w:rsid w:val="009F4904"/>
    <w:rsid w:val="00A00509"/>
    <w:rsid w:val="00A01356"/>
    <w:rsid w:val="00A13160"/>
    <w:rsid w:val="00A14BCF"/>
    <w:rsid w:val="00A24233"/>
    <w:rsid w:val="00A25917"/>
    <w:rsid w:val="00A4577B"/>
    <w:rsid w:val="00A52092"/>
    <w:rsid w:val="00A64EAD"/>
    <w:rsid w:val="00A83E17"/>
    <w:rsid w:val="00A94C1E"/>
    <w:rsid w:val="00A95AF3"/>
    <w:rsid w:val="00AA32DE"/>
    <w:rsid w:val="00AA4757"/>
    <w:rsid w:val="00AB14A2"/>
    <w:rsid w:val="00AB2C2A"/>
    <w:rsid w:val="00AB5212"/>
    <w:rsid w:val="00AD0669"/>
    <w:rsid w:val="00AD4274"/>
    <w:rsid w:val="00AD7765"/>
    <w:rsid w:val="00AE44EE"/>
    <w:rsid w:val="00AF2B24"/>
    <w:rsid w:val="00AF6692"/>
    <w:rsid w:val="00B00562"/>
    <w:rsid w:val="00B04B38"/>
    <w:rsid w:val="00B22198"/>
    <w:rsid w:val="00B26613"/>
    <w:rsid w:val="00B32A92"/>
    <w:rsid w:val="00B52881"/>
    <w:rsid w:val="00B53DE5"/>
    <w:rsid w:val="00B54B95"/>
    <w:rsid w:val="00B67618"/>
    <w:rsid w:val="00B70912"/>
    <w:rsid w:val="00B741D7"/>
    <w:rsid w:val="00B80FD0"/>
    <w:rsid w:val="00B82589"/>
    <w:rsid w:val="00B87977"/>
    <w:rsid w:val="00B9348D"/>
    <w:rsid w:val="00B95A6C"/>
    <w:rsid w:val="00BA2E00"/>
    <w:rsid w:val="00BA2F66"/>
    <w:rsid w:val="00BA658C"/>
    <w:rsid w:val="00BA692F"/>
    <w:rsid w:val="00BA7B1C"/>
    <w:rsid w:val="00BB4B92"/>
    <w:rsid w:val="00BB642D"/>
    <w:rsid w:val="00BC1488"/>
    <w:rsid w:val="00BC2C89"/>
    <w:rsid w:val="00BC51A5"/>
    <w:rsid w:val="00BC7A26"/>
    <w:rsid w:val="00BD0E20"/>
    <w:rsid w:val="00BD5ABF"/>
    <w:rsid w:val="00BE3944"/>
    <w:rsid w:val="00BE39BD"/>
    <w:rsid w:val="00BE430E"/>
    <w:rsid w:val="00BF6415"/>
    <w:rsid w:val="00BF7139"/>
    <w:rsid w:val="00C13DEC"/>
    <w:rsid w:val="00C1625F"/>
    <w:rsid w:val="00C3152F"/>
    <w:rsid w:val="00C43945"/>
    <w:rsid w:val="00C55021"/>
    <w:rsid w:val="00C57DEA"/>
    <w:rsid w:val="00C72106"/>
    <w:rsid w:val="00C878A1"/>
    <w:rsid w:val="00CA2667"/>
    <w:rsid w:val="00CA423F"/>
    <w:rsid w:val="00CB20FB"/>
    <w:rsid w:val="00CB2A38"/>
    <w:rsid w:val="00CD51ED"/>
    <w:rsid w:val="00CE44DA"/>
    <w:rsid w:val="00CF1105"/>
    <w:rsid w:val="00D0579A"/>
    <w:rsid w:val="00D10343"/>
    <w:rsid w:val="00D3642F"/>
    <w:rsid w:val="00D42F3E"/>
    <w:rsid w:val="00D447A1"/>
    <w:rsid w:val="00D513D9"/>
    <w:rsid w:val="00D544D0"/>
    <w:rsid w:val="00D64EC7"/>
    <w:rsid w:val="00D70929"/>
    <w:rsid w:val="00D7542F"/>
    <w:rsid w:val="00D76E47"/>
    <w:rsid w:val="00D81F51"/>
    <w:rsid w:val="00D92DE4"/>
    <w:rsid w:val="00D96AF4"/>
    <w:rsid w:val="00DB5111"/>
    <w:rsid w:val="00DB56BB"/>
    <w:rsid w:val="00DC4C38"/>
    <w:rsid w:val="00DD0FBE"/>
    <w:rsid w:val="00DD6176"/>
    <w:rsid w:val="00DE130A"/>
    <w:rsid w:val="00DE340C"/>
    <w:rsid w:val="00DF2E2A"/>
    <w:rsid w:val="00DF3ED7"/>
    <w:rsid w:val="00E005B8"/>
    <w:rsid w:val="00E04B54"/>
    <w:rsid w:val="00E06091"/>
    <w:rsid w:val="00E06970"/>
    <w:rsid w:val="00E1178C"/>
    <w:rsid w:val="00E144C3"/>
    <w:rsid w:val="00E170D4"/>
    <w:rsid w:val="00E17D20"/>
    <w:rsid w:val="00E254E5"/>
    <w:rsid w:val="00E26B0B"/>
    <w:rsid w:val="00E30350"/>
    <w:rsid w:val="00E31D97"/>
    <w:rsid w:val="00E33D9C"/>
    <w:rsid w:val="00E36BAE"/>
    <w:rsid w:val="00E523CC"/>
    <w:rsid w:val="00E75F2D"/>
    <w:rsid w:val="00E7624C"/>
    <w:rsid w:val="00EA04BB"/>
    <w:rsid w:val="00EA589D"/>
    <w:rsid w:val="00EB7D90"/>
    <w:rsid w:val="00ED1676"/>
    <w:rsid w:val="00ED5F35"/>
    <w:rsid w:val="00EE7EA8"/>
    <w:rsid w:val="00EF0591"/>
    <w:rsid w:val="00EF52A5"/>
    <w:rsid w:val="00EF787B"/>
    <w:rsid w:val="00F0399D"/>
    <w:rsid w:val="00F05D5A"/>
    <w:rsid w:val="00F07E4F"/>
    <w:rsid w:val="00F13284"/>
    <w:rsid w:val="00F21529"/>
    <w:rsid w:val="00F2344B"/>
    <w:rsid w:val="00F27AD3"/>
    <w:rsid w:val="00F355EA"/>
    <w:rsid w:val="00F36DC0"/>
    <w:rsid w:val="00F3738D"/>
    <w:rsid w:val="00F37BB7"/>
    <w:rsid w:val="00F65BFB"/>
    <w:rsid w:val="00F72078"/>
    <w:rsid w:val="00F72DDD"/>
    <w:rsid w:val="00F76019"/>
    <w:rsid w:val="00F76818"/>
    <w:rsid w:val="00F9062A"/>
    <w:rsid w:val="00F91DB6"/>
    <w:rsid w:val="00F93724"/>
    <w:rsid w:val="00F93C3E"/>
    <w:rsid w:val="00F93EBE"/>
    <w:rsid w:val="00FA4025"/>
    <w:rsid w:val="00FB4B16"/>
    <w:rsid w:val="00FD3E1D"/>
    <w:rsid w:val="00FD68A4"/>
    <w:rsid w:val="00FD6954"/>
    <w:rsid w:val="00FE02DA"/>
    <w:rsid w:val="00FE109A"/>
    <w:rsid w:val="00FE1372"/>
    <w:rsid w:val="00FE5779"/>
    <w:rsid w:val="00FE5817"/>
    <w:rsid w:val="00FF5DA5"/>
    <w:rsid w:val="0438EAA6"/>
    <w:rsid w:val="0C42BF3F"/>
    <w:rsid w:val="1B745576"/>
    <w:rsid w:val="1CAB60DD"/>
    <w:rsid w:val="235DF6B6"/>
    <w:rsid w:val="2744735C"/>
    <w:rsid w:val="32A7258D"/>
    <w:rsid w:val="33A319FE"/>
    <w:rsid w:val="3992458D"/>
    <w:rsid w:val="4EEBA680"/>
    <w:rsid w:val="57A38557"/>
    <w:rsid w:val="6246FF9C"/>
    <w:rsid w:val="64E0AC76"/>
    <w:rsid w:val="6589FB0C"/>
    <w:rsid w:val="671697B5"/>
    <w:rsid w:val="6BE161BA"/>
    <w:rsid w:val="7BA42BCB"/>
    <w:rsid w:val="7DE10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17949"/>
  <w15:docId w15:val="{9F0EB31D-0C35-49F0-8987-A656118B1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SimSun" w:hAnsi="Verdana" w:cs="Mangal"/>
        <w:kern w:val="2"/>
        <w:sz w:val="24"/>
        <w:szCs w:val="24"/>
        <w:lang w:val="en-GB"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11C"/>
    <w:pPr>
      <w:spacing w:after="120"/>
      <w:ind w:firstLine="709"/>
      <w:jc w:val="both"/>
    </w:pPr>
    <w:rPr>
      <w:rFonts w:ascii="Times New Roman" w:hAnsi="Times New Roman"/>
      <w:sz w:val="22"/>
      <w:lang w:val="es-ES"/>
    </w:rPr>
  </w:style>
  <w:style w:type="paragraph" w:styleId="Ttulo1">
    <w:name w:val="heading 1"/>
    <w:basedOn w:val="Normal"/>
    <w:next w:val="Normal"/>
    <w:link w:val="Ttulo1Char"/>
    <w:autoRedefine/>
    <w:uiPriority w:val="9"/>
    <w:qFormat/>
    <w:rsid w:val="00113355"/>
    <w:pPr>
      <w:keepNext/>
      <w:keepLines/>
      <w:spacing w:before="240"/>
      <w:ind w:left="709" w:firstLine="0"/>
      <w:jc w:val="left"/>
      <w:outlineLvl w:val="0"/>
    </w:pPr>
    <w:rPr>
      <w:rFonts w:eastAsia="Times New Roman"/>
      <w:b/>
      <w:sz w:val="24"/>
      <w:szCs w:val="29"/>
    </w:rPr>
  </w:style>
  <w:style w:type="paragraph" w:styleId="Ttulo2">
    <w:name w:val="heading 2"/>
    <w:basedOn w:val="Normal"/>
    <w:next w:val="Normal"/>
    <w:link w:val="Ttulo2Char"/>
    <w:autoRedefine/>
    <w:uiPriority w:val="9"/>
    <w:unhideWhenUsed/>
    <w:qFormat/>
    <w:rsid w:val="00E254E5"/>
    <w:pPr>
      <w:keepNext/>
      <w:keepLines/>
      <w:spacing w:before="240"/>
      <w:ind w:left="709" w:firstLine="0"/>
      <w:jc w:val="left"/>
      <w:outlineLvl w:val="1"/>
    </w:pPr>
    <w:rPr>
      <w:rFonts w:eastAsiaTheme="majorEastAsia"/>
      <w:b/>
      <w:sz w:val="24"/>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faseforte">
    <w:name w:val="Ênfase forte"/>
    <w:qFormat/>
    <w:rPr>
      <w:b/>
      <w:bCs/>
    </w:rPr>
  </w:style>
  <w:style w:type="paragraph" w:styleId="Ttulo">
    <w:name w:val="Title"/>
    <w:basedOn w:val="Normal"/>
    <w:next w:val="Corpodetexto"/>
    <w:qFormat/>
    <w:pPr>
      <w:keepNext/>
      <w:spacing w:before="240"/>
    </w:pPr>
    <w:rPr>
      <w:rFonts w:eastAsia="Microsoft YaHei"/>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uiPriority w:val="35"/>
    <w:qFormat/>
    <w:pPr>
      <w:suppressLineNumbers/>
      <w:spacing w:before="120"/>
    </w:pPr>
    <w:rPr>
      <w:i/>
      <w:iCs/>
    </w:rPr>
  </w:style>
  <w:style w:type="paragraph" w:customStyle="1" w:styleId="ndice">
    <w:name w:val="Índice"/>
    <w:basedOn w:val="Normal"/>
    <w:qFormat/>
    <w:pPr>
      <w:suppressLineNumbers/>
    </w:pPr>
  </w:style>
  <w:style w:type="paragraph" w:styleId="Textodenotaderodap">
    <w:name w:val="footnote text"/>
    <w:basedOn w:val="Normal"/>
    <w:link w:val="TextodenotaderodapChar"/>
    <w:uiPriority w:val="99"/>
    <w:semiHidden/>
    <w:unhideWhenUsed/>
    <w:rsid w:val="000E2BF2"/>
    <w:rPr>
      <w:sz w:val="20"/>
      <w:szCs w:val="18"/>
    </w:rPr>
  </w:style>
  <w:style w:type="character" w:customStyle="1" w:styleId="TextodenotaderodapChar">
    <w:name w:val="Texto de nota de rodapé Char"/>
    <w:basedOn w:val="Fontepargpadro"/>
    <w:link w:val="Textodenotaderodap"/>
    <w:uiPriority w:val="99"/>
    <w:semiHidden/>
    <w:rsid w:val="000E2BF2"/>
    <w:rPr>
      <w:sz w:val="20"/>
      <w:szCs w:val="18"/>
    </w:rPr>
  </w:style>
  <w:style w:type="character" w:styleId="Refdenotaderodap">
    <w:name w:val="footnote reference"/>
    <w:basedOn w:val="Fontepargpadro"/>
    <w:uiPriority w:val="99"/>
    <w:unhideWhenUsed/>
    <w:rsid w:val="000E2BF2"/>
    <w:rPr>
      <w:vertAlign w:val="superscript"/>
    </w:rPr>
  </w:style>
  <w:style w:type="character" w:customStyle="1" w:styleId="highlight">
    <w:name w:val="highlight"/>
    <w:basedOn w:val="Fontepargpadro"/>
    <w:rsid w:val="00A24233"/>
  </w:style>
  <w:style w:type="character" w:styleId="Refdecomentrio">
    <w:name w:val="annotation reference"/>
    <w:basedOn w:val="Fontepargpadro"/>
    <w:uiPriority w:val="99"/>
    <w:semiHidden/>
    <w:unhideWhenUsed/>
    <w:rsid w:val="00037A9F"/>
    <w:rPr>
      <w:sz w:val="16"/>
      <w:szCs w:val="16"/>
    </w:rPr>
  </w:style>
  <w:style w:type="paragraph" w:styleId="Textodecomentrio">
    <w:name w:val="annotation text"/>
    <w:basedOn w:val="Normal"/>
    <w:link w:val="TextodecomentrioChar"/>
    <w:uiPriority w:val="99"/>
    <w:semiHidden/>
    <w:unhideWhenUsed/>
    <w:rsid w:val="00037A9F"/>
    <w:rPr>
      <w:sz w:val="20"/>
      <w:szCs w:val="18"/>
    </w:rPr>
  </w:style>
  <w:style w:type="character" w:customStyle="1" w:styleId="TextodecomentrioChar">
    <w:name w:val="Texto de comentário Char"/>
    <w:basedOn w:val="Fontepargpadro"/>
    <w:link w:val="Textodecomentrio"/>
    <w:uiPriority w:val="99"/>
    <w:semiHidden/>
    <w:rsid w:val="00037A9F"/>
    <w:rPr>
      <w:sz w:val="20"/>
      <w:szCs w:val="18"/>
    </w:rPr>
  </w:style>
  <w:style w:type="paragraph" w:styleId="Assuntodocomentrio">
    <w:name w:val="annotation subject"/>
    <w:basedOn w:val="Textodecomentrio"/>
    <w:next w:val="Textodecomentrio"/>
    <w:link w:val="AssuntodocomentrioChar"/>
    <w:uiPriority w:val="99"/>
    <w:semiHidden/>
    <w:unhideWhenUsed/>
    <w:rsid w:val="00037A9F"/>
    <w:rPr>
      <w:b/>
      <w:bCs/>
    </w:rPr>
  </w:style>
  <w:style w:type="character" w:customStyle="1" w:styleId="AssuntodocomentrioChar">
    <w:name w:val="Assunto do comentário Char"/>
    <w:basedOn w:val="TextodecomentrioChar"/>
    <w:link w:val="Assuntodocomentrio"/>
    <w:uiPriority w:val="99"/>
    <w:semiHidden/>
    <w:rsid w:val="00037A9F"/>
    <w:rPr>
      <w:b/>
      <w:bCs/>
      <w:sz w:val="20"/>
      <w:szCs w:val="18"/>
    </w:rPr>
  </w:style>
  <w:style w:type="paragraph" w:styleId="Textodebalo">
    <w:name w:val="Balloon Text"/>
    <w:basedOn w:val="Normal"/>
    <w:link w:val="TextodebaloChar"/>
    <w:uiPriority w:val="99"/>
    <w:semiHidden/>
    <w:unhideWhenUsed/>
    <w:rsid w:val="00037A9F"/>
    <w:rPr>
      <w:rFonts w:ascii="Segoe UI" w:hAnsi="Segoe UI"/>
      <w:sz w:val="18"/>
      <w:szCs w:val="16"/>
    </w:rPr>
  </w:style>
  <w:style w:type="character" w:customStyle="1" w:styleId="TextodebaloChar">
    <w:name w:val="Texto de balão Char"/>
    <w:basedOn w:val="Fontepargpadro"/>
    <w:link w:val="Textodebalo"/>
    <w:uiPriority w:val="99"/>
    <w:semiHidden/>
    <w:rsid w:val="00037A9F"/>
    <w:rPr>
      <w:rFonts w:ascii="Segoe UI" w:hAnsi="Segoe UI"/>
      <w:sz w:val="18"/>
      <w:szCs w:val="16"/>
    </w:rPr>
  </w:style>
  <w:style w:type="paragraph" w:styleId="PargrafodaLista">
    <w:name w:val="List Paragraph"/>
    <w:basedOn w:val="Normal"/>
    <w:uiPriority w:val="1"/>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encinsinresolver1">
    <w:name w:val="Mención sin resolver1"/>
    <w:basedOn w:val="Fontepargpadro"/>
    <w:uiPriority w:val="99"/>
    <w:semiHidden/>
    <w:unhideWhenUsed/>
    <w:rsid w:val="00D3642F"/>
    <w:rPr>
      <w:color w:val="605E5C"/>
      <w:shd w:val="clear" w:color="auto" w:fill="E1DFDD"/>
    </w:rPr>
  </w:style>
  <w:style w:type="character" w:customStyle="1" w:styleId="normaltextrun">
    <w:name w:val="normaltextrun"/>
    <w:basedOn w:val="Fontepargpadro"/>
    <w:rsid w:val="00BA658C"/>
  </w:style>
  <w:style w:type="character" w:customStyle="1" w:styleId="spellingerror">
    <w:name w:val="spellingerror"/>
    <w:basedOn w:val="Fontepargpadro"/>
    <w:rsid w:val="00BA658C"/>
  </w:style>
  <w:style w:type="paragraph" w:styleId="Cabealho">
    <w:name w:val="header"/>
    <w:basedOn w:val="Normal"/>
    <w:link w:val="CabealhoChar"/>
    <w:uiPriority w:val="99"/>
    <w:unhideWhenUsed/>
    <w:rsid w:val="007F621E"/>
    <w:pPr>
      <w:tabs>
        <w:tab w:val="center" w:pos="4513"/>
        <w:tab w:val="right" w:pos="9026"/>
      </w:tabs>
    </w:pPr>
    <w:rPr>
      <w:szCs w:val="21"/>
    </w:rPr>
  </w:style>
  <w:style w:type="character" w:customStyle="1" w:styleId="CabealhoChar">
    <w:name w:val="Cabeçalho Char"/>
    <w:basedOn w:val="Fontepargpadro"/>
    <w:link w:val="Cabealho"/>
    <w:uiPriority w:val="99"/>
    <w:rsid w:val="007F621E"/>
    <w:rPr>
      <w:szCs w:val="21"/>
    </w:rPr>
  </w:style>
  <w:style w:type="paragraph" w:styleId="Rodap">
    <w:name w:val="footer"/>
    <w:basedOn w:val="Normal"/>
    <w:link w:val="RodapChar"/>
    <w:uiPriority w:val="99"/>
    <w:unhideWhenUsed/>
    <w:rsid w:val="007F621E"/>
    <w:pPr>
      <w:tabs>
        <w:tab w:val="center" w:pos="4513"/>
        <w:tab w:val="right" w:pos="9026"/>
      </w:tabs>
    </w:pPr>
    <w:rPr>
      <w:szCs w:val="21"/>
    </w:rPr>
  </w:style>
  <w:style w:type="character" w:customStyle="1" w:styleId="RodapChar">
    <w:name w:val="Rodapé Char"/>
    <w:basedOn w:val="Fontepargpadro"/>
    <w:link w:val="Rodap"/>
    <w:uiPriority w:val="99"/>
    <w:rsid w:val="007F621E"/>
    <w:rPr>
      <w:szCs w:val="21"/>
    </w:rPr>
  </w:style>
  <w:style w:type="paragraph" w:customStyle="1" w:styleId="paragraph">
    <w:name w:val="paragraph"/>
    <w:basedOn w:val="Normal"/>
    <w:rsid w:val="00D42F3E"/>
    <w:pPr>
      <w:spacing w:before="100" w:beforeAutospacing="1" w:after="100" w:afterAutospacing="1"/>
    </w:pPr>
    <w:rPr>
      <w:rFonts w:eastAsia="Times New Roman" w:cs="Times New Roman"/>
      <w:kern w:val="0"/>
      <w:lang w:eastAsia="en-GB" w:bidi="ar-SA"/>
    </w:rPr>
  </w:style>
  <w:style w:type="character" w:customStyle="1" w:styleId="eop">
    <w:name w:val="eop"/>
    <w:basedOn w:val="Fontepargpadro"/>
    <w:rsid w:val="00D42F3E"/>
  </w:style>
  <w:style w:type="paragraph" w:customStyle="1" w:styleId="local">
    <w:name w:val="local"/>
    <w:basedOn w:val="Normal"/>
    <w:uiPriority w:val="3"/>
    <w:rsid w:val="00C72106"/>
    <w:pPr>
      <w:jc w:val="center"/>
    </w:pPr>
    <w:rPr>
      <w:rFonts w:ascii="Arial" w:eastAsia="Times New Roman" w:hAnsi="Arial" w:cs="Times New Roman"/>
      <w:kern w:val="0"/>
      <w:sz w:val="28"/>
      <w:szCs w:val="20"/>
      <w:lang w:eastAsia="en-GB" w:bidi="ar-SA"/>
    </w:rPr>
  </w:style>
  <w:style w:type="character" w:styleId="Forte">
    <w:name w:val="Strong"/>
    <w:basedOn w:val="Fontepargpadro"/>
    <w:uiPriority w:val="22"/>
    <w:qFormat/>
    <w:rsid w:val="005C7E51"/>
    <w:rPr>
      <w:b/>
      <w:bCs/>
    </w:rPr>
  </w:style>
  <w:style w:type="character" w:customStyle="1" w:styleId="UnresolvedMention">
    <w:name w:val="Unresolved Mention"/>
    <w:basedOn w:val="Fontepargpadro"/>
    <w:uiPriority w:val="99"/>
    <w:semiHidden/>
    <w:unhideWhenUsed/>
    <w:rsid w:val="00D513D9"/>
    <w:rPr>
      <w:color w:val="605E5C"/>
      <w:shd w:val="clear" w:color="auto" w:fill="E1DFDD"/>
    </w:rPr>
  </w:style>
  <w:style w:type="paragraph" w:styleId="Citao">
    <w:name w:val="Quote"/>
    <w:basedOn w:val="Normal"/>
    <w:next w:val="Normal"/>
    <w:link w:val="CitaoChar"/>
    <w:uiPriority w:val="29"/>
    <w:qFormat/>
    <w:rsid w:val="00F93EBE"/>
    <w:pPr>
      <w:ind w:left="709" w:firstLine="0"/>
    </w:pPr>
    <w:rPr>
      <w:iCs/>
    </w:rPr>
  </w:style>
  <w:style w:type="character" w:customStyle="1" w:styleId="CitaoChar">
    <w:name w:val="Citação Char"/>
    <w:basedOn w:val="Fontepargpadro"/>
    <w:link w:val="Citao"/>
    <w:uiPriority w:val="29"/>
    <w:rsid w:val="00F93EBE"/>
    <w:rPr>
      <w:rFonts w:ascii="Times New Roman" w:hAnsi="Times New Roman"/>
      <w:iCs/>
      <w:sz w:val="22"/>
      <w:lang w:val="es-ES"/>
    </w:rPr>
  </w:style>
  <w:style w:type="character" w:customStyle="1" w:styleId="Ttulo1Char">
    <w:name w:val="Título 1 Char"/>
    <w:basedOn w:val="Fontepargpadro"/>
    <w:link w:val="Ttulo1"/>
    <w:uiPriority w:val="9"/>
    <w:rsid w:val="00113355"/>
    <w:rPr>
      <w:rFonts w:ascii="Times New Roman" w:eastAsia="Times New Roman" w:hAnsi="Times New Roman"/>
      <w:b/>
      <w:szCs w:val="29"/>
      <w:lang w:val="es-ES"/>
    </w:rPr>
  </w:style>
  <w:style w:type="character" w:customStyle="1" w:styleId="Ttulo2Char">
    <w:name w:val="Título 2 Char"/>
    <w:basedOn w:val="Fontepargpadro"/>
    <w:link w:val="Ttulo2"/>
    <w:uiPriority w:val="9"/>
    <w:rsid w:val="00E254E5"/>
    <w:rPr>
      <w:rFonts w:ascii="Times New Roman" w:eastAsiaTheme="majorEastAsia" w:hAnsi="Times New Roman"/>
      <w:b/>
      <w:szCs w:val="23"/>
      <w:lang w:val="es-ES"/>
    </w:rPr>
  </w:style>
  <w:style w:type="paragraph" w:styleId="Reviso">
    <w:name w:val="Revision"/>
    <w:hidden/>
    <w:uiPriority w:val="99"/>
    <w:semiHidden/>
    <w:rsid w:val="00EF787B"/>
    <w:rPr>
      <w:rFonts w:ascii="Times New Roman" w:hAnsi="Times New Roman"/>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68305">
      <w:bodyDiv w:val="1"/>
      <w:marLeft w:val="0"/>
      <w:marRight w:val="0"/>
      <w:marTop w:val="0"/>
      <w:marBottom w:val="0"/>
      <w:divBdr>
        <w:top w:val="none" w:sz="0" w:space="0" w:color="auto"/>
        <w:left w:val="none" w:sz="0" w:space="0" w:color="auto"/>
        <w:bottom w:val="none" w:sz="0" w:space="0" w:color="auto"/>
        <w:right w:val="none" w:sz="0" w:space="0" w:color="auto"/>
      </w:divBdr>
    </w:div>
    <w:div w:id="1392001873">
      <w:bodyDiv w:val="1"/>
      <w:marLeft w:val="0"/>
      <w:marRight w:val="0"/>
      <w:marTop w:val="0"/>
      <w:marBottom w:val="0"/>
      <w:divBdr>
        <w:top w:val="none" w:sz="0" w:space="0" w:color="auto"/>
        <w:left w:val="none" w:sz="0" w:space="0" w:color="auto"/>
        <w:bottom w:val="none" w:sz="0" w:space="0" w:color="auto"/>
        <w:right w:val="none" w:sz="0" w:space="0" w:color="auto"/>
      </w:divBdr>
      <w:divsChild>
        <w:div w:id="635646999">
          <w:marLeft w:val="0"/>
          <w:marRight w:val="0"/>
          <w:marTop w:val="0"/>
          <w:marBottom w:val="0"/>
          <w:divBdr>
            <w:top w:val="none" w:sz="0" w:space="0" w:color="auto"/>
            <w:left w:val="none" w:sz="0" w:space="0" w:color="auto"/>
            <w:bottom w:val="none" w:sz="0" w:space="0" w:color="auto"/>
            <w:right w:val="none" w:sz="0" w:space="0" w:color="auto"/>
          </w:divBdr>
        </w:div>
        <w:div w:id="1680347601">
          <w:marLeft w:val="0"/>
          <w:marRight w:val="0"/>
          <w:marTop w:val="0"/>
          <w:marBottom w:val="0"/>
          <w:divBdr>
            <w:top w:val="none" w:sz="0" w:space="0" w:color="auto"/>
            <w:left w:val="none" w:sz="0" w:space="0" w:color="auto"/>
            <w:bottom w:val="none" w:sz="0" w:space="0" w:color="auto"/>
            <w:right w:val="none" w:sz="0" w:space="0" w:color="auto"/>
          </w:divBdr>
        </w:div>
        <w:div w:id="473639461">
          <w:marLeft w:val="0"/>
          <w:marRight w:val="0"/>
          <w:marTop w:val="0"/>
          <w:marBottom w:val="0"/>
          <w:divBdr>
            <w:top w:val="none" w:sz="0" w:space="0" w:color="auto"/>
            <w:left w:val="none" w:sz="0" w:space="0" w:color="auto"/>
            <w:bottom w:val="none" w:sz="0" w:space="0" w:color="auto"/>
            <w:right w:val="none" w:sz="0" w:space="0" w:color="auto"/>
          </w:divBdr>
        </w:div>
      </w:divsChild>
    </w:div>
    <w:div w:id="1924103619">
      <w:bodyDiv w:val="1"/>
      <w:marLeft w:val="0"/>
      <w:marRight w:val="0"/>
      <w:marTop w:val="0"/>
      <w:marBottom w:val="0"/>
      <w:divBdr>
        <w:top w:val="none" w:sz="0" w:space="0" w:color="auto"/>
        <w:left w:val="none" w:sz="0" w:space="0" w:color="auto"/>
        <w:bottom w:val="none" w:sz="0" w:space="0" w:color="auto"/>
        <w:right w:val="none" w:sz="0" w:space="0" w:color="auto"/>
      </w:divBdr>
      <w:divsChild>
        <w:div w:id="802624264">
          <w:marLeft w:val="0"/>
          <w:marRight w:val="0"/>
          <w:marTop w:val="0"/>
          <w:marBottom w:val="0"/>
          <w:divBdr>
            <w:top w:val="none" w:sz="0" w:space="0" w:color="auto"/>
            <w:left w:val="none" w:sz="0" w:space="0" w:color="auto"/>
            <w:bottom w:val="none" w:sz="0" w:space="0" w:color="auto"/>
            <w:right w:val="none" w:sz="0" w:space="0" w:color="auto"/>
          </w:divBdr>
        </w:div>
        <w:div w:id="346254389">
          <w:marLeft w:val="0"/>
          <w:marRight w:val="0"/>
          <w:marTop w:val="0"/>
          <w:marBottom w:val="0"/>
          <w:divBdr>
            <w:top w:val="none" w:sz="0" w:space="0" w:color="auto"/>
            <w:left w:val="none" w:sz="0" w:space="0" w:color="auto"/>
            <w:bottom w:val="none" w:sz="0" w:space="0" w:color="auto"/>
            <w:right w:val="none" w:sz="0" w:space="0" w:color="auto"/>
          </w:divBdr>
        </w:div>
        <w:div w:id="1654488547">
          <w:marLeft w:val="0"/>
          <w:marRight w:val="0"/>
          <w:marTop w:val="0"/>
          <w:marBottom w:val="0"/>
          <w:divBdr>
            <w:top w:val="none" w:sz="0" w:space="0" w:color="auto"/>
            <w:left w:val="none" w:sz="0" w:space="0" w:color="auto"/>
            <w:bottom w:val="none" w:sz="0" w:space="0" w:color="auto"/>
            <w:right w:val="none" w:sz="0" w:space="0" w:color="auto"/>
          </w:divBdr>
        </w:div>
        <w:div w:id="431751341">
          <w:marLeft w:val="0"/>
          <w:marRight w:val="0"/>
          <w:marTop w:val="0"/>
          <w:marBottom w:val="0"/>
          <w:divBdr>
            <w:top w:val="none" w:sz="0" w:space="0" w:color="auto"/>
            <w:left w:val="none" w:sz="0" w:space="0" w:color="auto"/>
            <w:bottom w:val="none" w:sz="0" w:space="0" w:color="auto"/>
            <w:right w:val="none" w:sz="0" w:space="0" w:color="auto"/>
          </w:divBdr>
        </w:div>
        <w:div w:id="78841972">
          <w:marLeft w:val="0"/>
          <w:marRight w:val="0"/>
          <w:marTop w:val="0"/>
          <w:marBottom w:val="0"/>
          <w:divBdr>
            <w:top w:val="none" w:sz="0" w:space="0" w:color="auto"/>
            <w:left w:val="none" w:sz="0" w:space="0" w:color="auto"/>
            <w:bottom w:val="none" w:sz="0" w:space="0" w:color="auto"/>
            <w:right w:val="none" w:sz="0" w:space="0" w:color="auto"/>
          </w:divBdr>
        </w:div>
        <w:div w:id="1119490703">
          <w:marLeft w:val="0"/>
          <w:marRight w:val="0"/>
          <w:marTop w:val="0"/>
          <w:marBottom w:val="0"/>
          <w:divBdr>
            <w:top w:val="none" w:sz="0" w:space="0" w:color="auto"/>
            <w:left w:val="none" w:sz="0" w:space="0" w:color="auto"/>
            <w:bottom w:val="none" w:sz="0" w:space="0" w:color="auto"/>
            <w:right w:val="none" w:sz="0" w:space="0" w:color="auto"/>
          </w:divBdr>
        </w:div>
        <w:div w:id="1971007220">
          <w:marLeft w:val="0"/>
          <w:marRight w:val="0"/>
          <w:marTop w:val="0"/>
          <w:marBottom w:val="0"/>
          <w:divBdr>
            <w:top w:val="none" w:sz="0" w:space="0" w:color="auto"/>
            <w:left w:val="none" w:sz="0" w:space="0" w:color="auto"/>
            <w:bottom w:val="none" w:sz="0" w:space="0" w:color="auto"/>
            <w:right w:val="none" w:sz="0" w:space="0" w:color="auto"/>
          </w:divBdr>
        </w:div>
        <w:div w:id="1368675302">
          <w:marLeft w:val="0"/>
          <w:marRight w:val="0"/>
          <w:marTop w:val="0"/>
          <w:marBottom w:val="0"/>
          <w:divBdr>
            <w:top w:val="none" w:sz="0" w:space="0" w:color="auto"/>
            <w:left w:val="none" w:sz="0" w:space="0" w:color="auto"/>
            <w:bottom w:val="none" w:sz="0" w:space="0" w:color="auto"/>
            <w:right w:val="none" w:sz="0" w:space="0" w:color="auto"/>
          </w:divBdr>
        </w:div>
        <w:div w:id="960040736">
          <w:marLeft w:val="0"/>
          <w:marRight w:val="0"/>
          <w:marTop w:val="0"/>
          <w:marBottom w:val="0"/>
          <w:divBdr>
            <w:top w:val="none" w:sz="0" w:space="0" w:color="auto"/>
            <w:left w:val="none" w:sz="0" w:space="0" w:color="auto"/>
            <w:bottom w:val="none" w:sz="0" w:space="0" w:color="auto"/>
            <w:right w:val="none" w:sz="0" w:space="0" w:color="auto"/>
          </w:divBdr>
        </w:div>
        <w:div w:id="960303395">
          <w:marLeft w:val="0"/>
          <w:marRight w:val="0"/>
          <w:marTop w:val="0"/>
          <w:marBottom w:val="0"/>
          <w:divBdr>
            <w:top w:val="none" w:sz="0" w:space="0" w:color="auto"/>
            <w:left w:val="none" w:sz="0" w:space="0" w:color="auto"/>
            <w:bottom w:val="none" w:sz="0" w:space="0" w:color="auto"/>
            <w:right w:val="none" w:sz="0" w:space="0" w:color="auto"/>
          </w:divBdr>
        </w:div>
      </w:divsChild>
    </w:div>
    <w:div w:id="211566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rlroja@ucm.e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periodicos.ulbra.br/index.php/acta/about/submissions#copyrightNotice" TargetMode="External"/><Relationship Id="rId2" Type="http://schemas.openxmlformats.org/officeDocument/2006/relationships/image" Target="media/image19.jpeg"/><Relationship Id="rId1" Type="http://schemas.openxmlformats.org/officeDocument/2006/relationships/hyperlink" Target="http://www.periodicos.ulbra.br/index.php/acta/" TargetMode="External"/><Relationship Id="rId4"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D168E-16F6-44BD-9843-8444D2AD4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13366</Words>
  <Characters>72178</Characters>
  <Application>Microsoft Office Word</Application>
  <DocSecurity>0</DocSecurity>
  <Lines>601</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PPGECIM</dc:creator>
  <dc:description/>
  <cp:lastModifiedBy>Reviewer</cp:lastModifiedBy>
  <cp:revision>2</cp:revision>
  <cp:lastPrinted>2021-02-11T14:09:00Z</cp:lastPrinted>
  <dcterms:created xsi:type="dcterms:W3CDTF">2022-05-09T17:10:00Z</dcterms:created>
  <dcterms:modified xsi:type="dcterms:W3CDTF">2022-05-09T17:10:00Z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